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rPr>
          <w:rFonts w:hint="default" w:ascii="宋体" w:hAnsi="宋体"/>
          <w:b/>
          <w:bCs/>
          <w:sz w:val="48"/>
          <w:szCs w:val="48"/>
          <w:highlight w:val="none"/>
        </w:rPr>
      </w:pPr>
      <w:r>
        <w:rPr>
          <w:rFonts w:hint="eastAsia" w:ascii="宋体" w:hAnsi="宋体"/>
          <w:b/>
          <w:bCs/>
          <w:sz w:val="44"/>
          <w:szCs w:val="44"/>
          <w:highlight w:val="none"/>
          <w:lang w:eastAsia="zh-CN"/>
        </w:rPr>
        <w:t>国防教育准军事化管理服务项目</w:t>
      </w:r>
    </w:p>
    <w:p w14:paraId="7C2409C2">
      <w:pPr>
        <w:tabs>
          <w:tab w:val="left" w:pos="420"/>
        </w:tabs>
        <w:spacing w:before="498" w:beforeLines="150" w:line="200" w:lineRule="exact"/>
        <w:jc w:val="center"/>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2"/>
        <w:ind w:left="0" w:leftChars="0" w:firstLine="0" w:firstLineChars="0"/>
        <w:rPr>
          <w:rFonts w:hint="eastAsia"/>
          <w:highlight w:val="none"/>
        </w:rPr>
      </w:pPr>
    </w:p>
    <w:p w14:paraId="6D8AAACB">
      <w:pPr>
        <w:tabs>
          <w:tab w:val="left" w:pos="2410"/>
        </w:tabs>
        <w:autoSpaceDE w:val="0"/>
        <w:autoSpaceDN w:val="0"/>
        <w:adjustRightInd w:val="0"/>
        <w:snapToGrid w:val="0"/>
        <w:spacing w:line="600" w:lineRule="exact"/>
        <w:ind w:left="1050" w:leftChars="500"/>
        <w:jc w:val="left"/>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国防教育准军事化管理服务项目</w:t>
      </w:r>
    </w:p>
    <w:p w14:paraId="31AB83E2">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项目编号：</w:t>
      </w:r>
      <w:r>
        <w:rPr>
          <w:rFonts w:hint="eastAsia" w:ascii="宋体" w:hAnsi="DotumChe" w:cs="宋体"/>
          <w:b/>
          <w:spacing w:val="11"/>
          <w:kern w:val="0"/>
          <w:sz w:val="28"/>
          <w:szCs w:val="28"/>
          <w:highlight w:val="none"/>
          <w:lang w:eastAsia="zh-CN"/>
        </w:rPr>
        <w:t>DBSCG-2024-139</w:t>
      </w:r>
      <w:r>
        <w:rPr>
          <w:rFonts w:hint="eastAsia" w:ascii="宋体" w:hAnsi="DotumChe" w:cs="宋体"/>
          <w:b/>
          <w:spacing w:val="11"/>
          <w:kern w:val="0"/>
          <w:sz w:val="28"/>
          <w:szCs w:val="28"/>
          <w:highlight w:val="none"/>
          <w:lang w:val="en-US" w:eastAsia="zh-CN"/>
        </w:rPr>
        <w:t xml:space="preserve">     </w:t>
      </w:r>
    </w:p>
    <w:p w14:paraId="3FA0D995">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霍山职业学校</w:t>
      </w:r>
    </w:p>
    <w:p w14:paraId="190D34E7">
      <w:pPr>
        <w:tabs>
          <w:tab w:val="left" w:pos="2410"/>
        </w:tabs>
        <w:autoSpaceDE w:val="0"/>
        <w:autoSpaceDN w:val="0"/>
        <w:adjustRightInd w:val="0"/>
        <w:snapToGrid w:val="0"/>
        <w:spacing w:line="600" w:lineRule="exact"/>
        <w:ind w:left="1050" w:leftChars="500"/>
        <w:jc w:val="left"/>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10</w:t>
      </w:r>
      <w:r>
        <w:rPr>
          <w:rFonts w:hint="eastAsia" w:ascii="宋体" w:hAnsi="DotumChe" w:cs="宋体"/>
          <w:b/>
          <w:spacing w:val="11"/>
          <w:kern w:val="0"/>
          <w:sz w:val="28"/>
          <w:szCs w:val="28"/>
          <w:highlight w:val="none"/>
        </w:rPr>
        <w:t xml:space="preserve">月 </w:t>
      </w:r>
    </w:p>
    <w:p w14:paraId="63E0C343">
      <w:pPr>
        <w:jc w:val="both"/>
        <w:rPr>
          <w:b/>
          <w:sz w:val="28"/>
          <w:szCs w:val="28"/>
          <w:highlight w:val="none"/>
        </w:rPr>
      </w:pPr>
      <w:r>
        <w:rPr>
          <w:rFonts w:hint="eastAsia"/>
          <w:b/>
          <w:sz w:val="28"/>
          <w:szCs w:val="28"/>
          <w:highlight w:val="none"/>
        </w:rPr>
        <w:br w:type="page"/>
      </w:r>
    </w:p>
    <w:p w14:paraId="0EC4762A">
      <w:pPr>
        <w:spacing w:after="120" w:afterLines="50"/>
        <w:jc w:val="center"/>
        <w:rPr>
          <w:rFonts w:ascii="宋体" w:hAnsi="宋体" w:cs="宋体"/>
          <w:sz w:val="36"/>
          <w:szCs w:val="36"/>
          <w:highlight w:val="none"/>
        </w:rPr>
      </w:pPr>
      <w:r>
        <w:rPr>
          <w:rFonts w:hint="eastAsia" w:ascii="宋体" w:hAnsi="宋体" w:cs="宋体"/>
          <w:b/>
          <w:sz w:val="36"/>
          <w:szCs w:val="36"/>
          <w:highlight w:val="none"/>
        </w:rPr>
        <w:t>目  录</w:t>
      </w:r>
    </w:p>
    <w:p w14:paraId="558D2C0B">
      <w:pPr>
        <w:pStyle w:val="26"/>
        <w:tabs>
          <w:tab w:val="right" w:leader="dot" w:pos="8844"/>
        </w:tabs>
        <w:spacing w:line="400" w:lineRule="exact"/>
        <w:ind w:leftChars="0"/>
        <w:rPr>
          <w:rFonts w:ascii="宋体" w:hAnsi="宋体" w:cs="宋体"/>
          <w:b/>
          <w:bCs/>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TOC \o "1-3" \h \z </w:instrText>
      </w:r>
      <w:r>
        <w:rPr>
          <w:rFonts w:hint="eastAsia" w:ascii="宋体" w:hAnsi="宋体" w:cs="宋体"/>
          <w:sz w:val="24"/>
          <w:szCs w:val="24"/>
          <w:highlight w:val="none"/>
        </w:rPr>
        <w:fldChar w:fldCharType="separate"/>
      </w:r>
      <w:r>
        <w:rPr>
          <w:highlight w:val="none"/>
        </w:rPr>
        <w:fldChar w:fldCharType="begin"/>
      </w:r>
      <w:r>
        <w:rPr>
          <w:highlight w:val="none"/>
        </w:rPr>
        <w:instrText xml:space="preserve"> HYPERLINK \l "_Toc1863" </w:instrText>
      </w:r>
      <w:r>
        <w:rPr>
          <w:highlight w:val="none"/>
        </w:rPr>
        <w:fldChar w:fldCharType="separate"/>
      </w:r>
      <w:r>
        <w:rPr>
          <w:rFonts w:hint="eastAsia" w:ascii="宋体" w:hAnsi="宋体" w:cs="宋体"/>
          <w:b/>
          <w:bCs/>
          <w:sz w:val="24"/>
          <w:szCs w:val="24"/>
          <w:highlight w:val="none"/>
        </w:rPr>
        <w:t>竞争性磋商采购公告</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_Toc1863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768FB">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"_Toc21819" </w:instrText>
      </w:r>
      <w:r>
        <w:rPr>
          <w:highlight w:val="none"/>
        </w:rPr>
        <w:fldChar w:fldCharType="separate"/>
      </w:r>
      <w:r>
        <w:rPr>
          <w:rFonts w:hint="eastAsia" w:ascii="宋体" w:hAnsi="宋体" w:cs="宋体"/>
          <w:b/>
          <w:bCs/>
          <w:sz w:val="24"/>
          <w:szCs w:val="24"/>
          <w:highlight w:val="none"/>
        </w:rPr>
        <w:t>一、供应商须知</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_Toc21819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6</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6DBCB0E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"_Toc22568" </w:instrText>
      </w:r>
      <w:r>
        <w:rPr>
          <w:highlight w:val="none"/>
        </w:rPr>
        <w:fldChar w:fldCharType="separate"/>
      </w:r>
      <w:r>
        <w:rPr>
          <w:rFonts w:hint="eastAsia" w:ascii="宋体" w:hAnsi="宋体" w:cs="宋体"/>
          <w:sz w:val="24"/>
          <w:szCs w:val="24"/>
          <w:highlight w:val="none"/>
        </w:rPr>
        <w:t>（一）须知前附表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_Toc22568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AA09A4A">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"_Toc14333" </w:instrText>
      </w:r>
      <w:r>
        <w:rPr>
          <w:highlight w:val="none"/>
        </w:rPr>
        <w:fldChar w:fldCharType="separate"/>
      </w:r>
      <w:r>
        <w:rPr>
          <w:rFonts w:hint="eastAsia" w:ascii="宋体" w:hAnsi="宋体" w:cs="宋体"/>
          <w:sz w:val="24"/>
          <w:szCs w:val="24"/>
          <w:highlight w:val="none"/>
        </w:rPr>
        <w:t>（二）供应商资格</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_Toc14333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14824F6B">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"_Toc9435" </w:instrText>
      </w:r>
      <w:r>
        <w:rPr>
          <w:highlight w:val="none"/>
        </w:rPr>
        <w:fldChar w:fldCharType="separate"/>
      </w:r>
      <w:r>
        <w:rPr>
          <w:rFonts w:hint="eastAsia" w:ascii="宋体" w:hAnsi="宋体" w:cs="宋体"/>
          <w:sz w:val="24"/>
          <w:szCs w:val="24"/>
          <w:highlight w:val="none"/>
        </w:rPr>
        <w:t>（三）供应商必须提交的响应文件内容</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_Toc9435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7478420">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"_Toc9883" </w:instrText>
      </w:r>
      <w:r>
        <w:rPr>
          <w:highlight w:val="none"/>
        </w:rPr>
        <w:fldChar w:fldCharType="separate"/>
      </w:r>
      <w:r>
        <w:rPr>
          <w:rFonts w:hint="eastAsia" w:ascii="宋体" w:hAnsi="宋体" w:cs="宋体"/>
          <w:sz w:val="24"/>
          <w:szCs w:val="24"/>
          <w:highlight w:val="none"/>
        </w:rPr>
        <w:t>（四）响应文件的提交</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_Toc9883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2F2558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"_Toc32682" </w:instrText>
      </w:r>
      <w:r>
        <w:rPr>
          <w:highlight w:val="none"/>
        </w:rPr>
        <w:fldChar w:fldCharType="separate"/>
      </w:r>
      <w:r>
        <w:rPr>
          <w:rFonts w:hint="eastAsia" w:ascii="宋体" w:hAnsi="宋体" w:cs="宋体"/>
          <w:sz w:val="24"/>
          <w:szCs w:val="24"/>
          <w:highlight w:val="none"/>
        </w:rPr>
        <w:t>（五）磋商程序</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_Toc32682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969CF8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"_Toc11542" </w:instrText>
      </w:r>
      <w:r>
        <w:rPr>
          <w:highlight w:val="none"/>
        </w:rPr>
        <w:fldChar w:fldCharType="separate"/>
      </w:r>
      <w:r>
        <w:rPr>
          <w:rFonts w:hint="eastAsia" w:ascii="宋体" w:hAnsi="宋体" w:cs="宋体"/>
          <w:sz w:val="24"/>
          <w:szCs w:val="24"/>
          <w:highlight w:val="none"/>
        </w:rPr>
        <w:t>（六）评审及异常情况处理</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_Toc11542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9</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4DE3B0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"_Toc30632" </w:instrText>
      </w:r>
      <w:r>
        <w:rPr>
          <w:highlight w:val="none"/>
        </w:rPr>
        <w:fldChar w:fldCharType="separate"/>
      </w:r>
      <w:r>
        <w:rPr>
          <w:rFonts w:hint="eastAsia" w:ascii="宋体" w:hAnsi="宋体" w:cs="宋体"/>
          <w:sz w:val="24"/>
          <w:szCs w:val="24"/>
          <w:highlight w:val="none"/>
        </w:rPr>
        <w:t>（七）报价响应及答疑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_Toc30632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7F009D9">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"_Toc19999" </w:instrText>
      </w:r>
      <w:r>
        <w:rPr>
          <w:highlight w:val="none"/>
        </w:rPr>
        <w:fldChar w:fldCharType="separate"/>
      </w:r>
      <w:r>
        <w:rPr>
          <w:rFonts w:hint="eastAsia" w:ascii="宋体" w:hAnsi="宋体" w:cs="宋体"/>
          <w:sz w:val="24"/>
          <w:szCs w:val="24"/>
          <w:highlight w:val="none"/>
        </w:rPr>
        <w:t>（八）合同的签订</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_Toc19999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122055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"_Toc1832" </w:instrText>
      </w:r>
      <w:r>
        <w:rPr>
          <w:highlight w:val="none"/>
        </w:rPr>
        <w:fldChar w:fldCharType="separate"/>
      </w:r>
      <w:r>
        <w:rPr>
          <w:rFonts w:hint="eastAsia" w:ascii="宋体" w:hAnsi="宋体" w:cs="宋体"/>
          <w:sz w:val="24"/>
          <w:szCs w:val="24"/>
          <w:highlight w:val="none"/>
        </w:rPr>
        <w:t>（九）澄清及变更</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5E8689E">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"_Toc18928" </w:instrText>
      </w:r>
      <w:r>
        <w:rPr>
          <w:highlight w:val="none"/>
        </w:rPr>
        <w:fldChar w:fldCharType="separate"/>
      </w:r>
      <w:r>
        <w:rPr>
          <w:rFonts w:hint="eastAsia" w:ascii="宋体" w:hAnsi="宋体" w:cs="宋体"/>
          <w:sz w:val="24"/>
          <w:szCs w:val="24"/>
          <w:highlight w:val="none"/>
        </w:rPr>
        <w:t>（十）验收</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_Toc18928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2D00C25">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"_Toc3680" </w:instrText>
      </w:r>
      <w:r>
        <w:rPr>
          <w:highlight w:val="none"/>
        </w:rPr>
        <w:fldChar w:fldCharType="separate"/>
      </w:r>
      <w:r>
        <w:rPr>
          <w:rFonts w:hint="eastAsia" w:ascii="宋体" w:hAnsi="宋体" w:cs="宋体"/>
          <w:sz w:val="24"/>
          <w:szCs w:val="24"/>
          <w:highlight w:val="none"/>
        </w:rPr>
        <w:t>（十一）质疑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_Toc3680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B8557B2">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"_Toc22378" </w:instrText>
      </w:r>
      <w:r>
        <w:rPr>
          <w:highlight w:val="none"/>
        </w:rPr>
        <w:fldChar w:fldCharType="separate"/>
      </w:r>
      <w:r>
        <w:rPr>
          <w:rFonts w:hint="eastAsia" w:ascii="宋体" w:hAnsi="宋体" w:cs="宋体"/>
          <w:b/>
          <w:bCs/>
          <w:sz w:val="24"/>
          <w:szCs w:val="24"/>
          <w:highlight w:val="none"/>
        </w:rPr>
        <w:t>二、采购合同</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_Toc22378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15</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5916E8E4">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"_Toc17199" </w:instrText>
      </w:r>
      <w:r>
        <w:rPr>
          <w:highlight w:val="none"/>
        </w:rPr>
        <w:fldChar w:fldCharType="separate"/>
      </w:r>
      <w:r>
        <w:rPr>
          <w:rFonts w:hint="eastAsia" w:ascii="宋体" w:hAnsi="宋体" w:cs="宋体"/>
          <w:b/>
          <w:bCs/>
          <w:sz w:val="24"/>
          <w:szCs w:val="24"/>
          <w:highlight w:val="none"/>
        </w:rPr>
        <w:t>三、采购需求</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_Toc17199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24</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2C4BBC49">
      <w:pPr>
        <w:pStyle w:val="26"/>
        <w:tabs>
          <w:tab w:val="right" w:leader="dot" w:pos="8844"/>
        </w:tabs>
        <w:spacing w:line="400" w:lineRule="exact"/>
        <w:ind w:left="0" w:leftChars="0" w:firstLine="420" w:firstLineChars="200"/>
        <w:rPr>
          <w:rFonts w:hint="eastAsia" w:ascii="宋体" w:hAnsi="宋体" w:eastAsia="宋体" w:cs="宋体"/>
          <w:b/>
          <w:bCs/>
          <w:sz w:val="24"/>
          <w:szCs w:val="24"/>
          <w:highlight w:val="none"/>
          <w:lang w:val="en-US" w:eastAsia="zh-CN"/>
        </w:rPr>
      </w:pPr>
      <w:r>
        <w:rPr>
          <w:highlight w:val="none"/>
        </w:rPr>
        <w:fldChar w:fldCharType="begin"/>
      </w:r>
      <w:r>
        <w:rPr>
          <w:highlight w:val="none"/>
        </w:rPr>
        <w:instrText xml:space="preserve"> HYPERLINK \l "_Toc19815" </w:instrText>
      </w:r>
      <w:r>
        <w:rPr>
          <w:highlight w:val="none"/>
        </w:rPr>
        <w:fldChar w:fldCharType="separate"/>
      </w:r>
      <w:r>
        <w:rPr>
          <w:rFonts w:hint="eastAsia" w:ascii="宋体" w:hAnsi="宋体" w:cs="宋体"/>
          <w:b/>
          <w:bCs/>
          <w:sz w:val="24"/>
          <w:szCs w:val="24"/>
          <w:highlight w:val="none"/>
        </w:rPr>
        <w:t>四、评分标准</w:t>
      </w:r>
      <w:r>
        <w:rPr>
          <w:rFonts w:hint="eastAsia" w:ascii="宋体" w:hAnsi="宋体" w:cs="宋体"/>
          <w:b/>
          <w:bCs/>
          <w:sz w:val="24"/>
          <w:szCs w:val="24"/>
          <w:highlight w:val="none"/>
        </w:rPr>
        <w:tab/>
      </w:r>
      <w:r>
        <w:rPr>
          <w:rFonts w:hint="eastAsia" w:ascii="宋体" w:hAnsi="宋体" w:cs="宋体"/>
          <w:b/>
          <w:bCs/>
          <w:sz w:val="24"/>
          <w:szCs w:val="24"/>
          <w:highlight w:val="none"/>
          <w:lang w:val="en-US" w:eastAsia="zh-CN"/>
        </w:rPr>
        <w:t>3</w:t>
      </w:r>
      <w:r>
        <w:rPr>
          <w:rFonts w:hint="eastAsia" w:ascii="宋体" w:hAnsi="宋体" w:cs="宋体"/>
          <w:b/>
          <w:bCs/>
          <w:sz w:val="24"/>
          <w:szCs w:val="24"/>
          <w:highlight w:val="none"/>
        </w:rPr>
        <w:fldChar w:fldCharType="end"/>
      </w:r>
      <w:r>
        <w:rPr>
          <w:rFonts w:hint="eastAsia" w:ascii="宋体" w:hAnsi="宋体" w:cs="宋体"/>
          <w:b/>
          <w:bCs/>
          <w:sz w:val="24"/>
          <w:szCs w:val="24"/>
          <w:highlight w:val="none"/>
          <w:lang w:val="en-US" w:eastAsia="zh-CN"/>
        </w:rPr>
        <w:t>2</w:t>
      </w:r>
    </w:p>
    <w:p w14:paraId="2DBADE41">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"_Toc8088" </w:instrText>
      </w:r>
      <w:r>
        <w:rPr>
          <w:highlight w:val="none"/>
        </w:rPr>
        <w:fldChar w:fldCharType="separate"/>
      </w:r>
      <w:r>
        <w:rPr>
          <w:rFonts w:hint="eastAsia" w:ascii="宋体" w:hAnsi="宋体" w:cs="宋体"/>
          <w:b/>
          <w:bCs/>
          <w:sz w:val="24"/>
          <w:szCs w:val="24"/>
          <w:highlight w:val="none"/>
        </w:rPr>
        <w:t>五、响应文件格式</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_Toc8088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38</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E025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"_Toc2602" </w:instrText>
      </w:r>
      <w:r>
        <w:rPr>
          <w:highlight w:val="none"/>
        </w:rPr>
        <w:fldChar w:fldCharType="separate"/>
      </w:r>
      <w:r>
        <w:rPr>
          <w:rFonts w:hint="eastAsia" w:ascii="宋体" w:hAnsi="宋体" w:cs="宋体"/>
          <w:b/>
          <w:bCs/>
          <w:sz w:val="24"/>
          <w:szCs w:val="24"/>
          <w:highlight w:val="none"/>
        </w:rPr>
        <w:t>响应文件资料清单</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_Toc2602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39</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0A75BACD">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"_Toc21309" </w:instrText>
      </w:r>
      <w:r>
        <w:rPr>
          <w:highlight w:val="none"/>
        </w:rPr>
        <w:fldChar w:fldCharType="separate"/>
      </w:r>
      <w:r>
        <w:rPr>
          <w:rFonts w:hint="eastAsia" w:ascii="宋体" w:hAnsi="宋体" w:cs="宋体"/>
          <w:sz w:val="24"/>
          <w:szCs w:val="24"/>
          <w:highlight w:val="none"/>
        </w:rPr>
        <w:t>附件一 报价单</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_Toc21309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84C5F7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"_Toc22855" </w:instrText>
      </w:r>
      <w:r>
        <w:rPr>
          <w:highlight w:val="none"/>
        </w:rPr>
        <w:fldChar w:fldCharType="separate"/>
      </w:r>
      <w:r>
        <w:rPr>
          <w:rFonts w:hint="eastAsia" w:ascii="宋体" w:hAnsi="宋体" w:cs="宋体"/>
          <w:sz w:val="24"/>
          <w:szCs w:val="24"/>
          <w:highlight w:val="none"/>
        </w:rPr>
        <w:t>附件二 供应商基本信息</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_Toc22855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41</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76229A2">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"_Toc10154" </w:instrText>
      </w:r>
      <w:r>
        <w:rPr>
          <w:highlight w:val="none"/>
        </w:rPr>
        <w:fldChar w:fldCharType="separate"/>
      </w:r>
      <w:r>
        <w:rPr>
          <w:rFonts w:hint="eastAsia" w:ascii="宋体" w:hAnsi="宋体" w:cs="宋体"/>
          <w:sz w:val="24"/>
          <w:szCs w:val="24"/>
          <w:highlight w:val="none"/>
        </w:rPr>
        <w:t>附件三 磋商授权书</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_Toc10154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41</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EED8DB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"_Toc17888" </w:instrText>
      </w:r>
      <w:r>
        <w:rPr>
          <w:highlight w:val="none"/>
        </w:rPr>
        <w:fldChar w:fldCharType="separate"/>
      </w:r>
      <w:r>
        <w:rPr>
          <w:rFonts w:hint="eastAsia" w:ascii="宋体" w:hAnsi="宋体" w:cs="宋体"/>
          <w:sz w:val="24"/>
          <w:szCs w:val="24"/>
          <w:highlight w:val="none"/>
        </w:rPr>
        <w:t>附件四 磋商响应函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_Toc17888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938B90F">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"_Toc16627" </w:instrText>
      </w:r>
      <w:r>
        <w:rPr>
          <w:highlight w:val="none"/>
        </w:rPr>
        <w:fldChar w:fldCharType="separate"/>
      </w:r>
      <w:r>
        <w:rPr>
          <w:rFonts w:hint="eastAsia" w:ascii="宋体" w:hAnsi="宋体" w:cs="宋体"/>
          <w:sz w:val="24"/>
          <w:szCs w:val="24"/>
          <w:highlight w:val="none"/>
        </w:rPr>
        <w:t xml:space="preserve">附件五 </w:t>
      </w:r>
      <w:r>
        <w:rPr>
          <w:rFonts w:hint="eastAsia" w:ascii="宋体" w:hAnsi="宋体" w:cs="宋体"/>
          <w:sz w:val="24"/>
          <w:szCs w:val="24"/>
          <w:highlight w:val="none"/>
          <w:lang w:val="zh-CN"/>
        </w:rPr>
        <w:t>无重大违法记录声明函、无不良信用记录承诺函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_Toc16627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43</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8F8FF6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"_Toc17797" </w:instrText>
      </w:r>
      <w:r>
        <w:rPr>
          <w:highlight w:val="none"/>
        </w:rPr>
        <w:fldChar w:fldCharType="separate"/>
      </w:r>
      <w:r>
        <w:rPr>
          <w:rFonts w:hint="eastAsia" w:ascii="宋体" w:hAnsi="宋体" w:cs="宋体"/>
          <w:sz w:val="24"/>
          <w:szCs w:val="24"/>
          <w:highlight w:val="none"/>
        </w:rPr>
        <w:t xml:space="preserve">附件六 </w:t>
      </w:r>
      <w:r>
        <w:rPr>
          <w:rFonts w:hint="eastAsia" w:ascii="宋体" w:hAnsi="宋体" w:cs="宋体"/>
          <w:sz w:val="24"/>
          <w:szCs w:val="24"/>
          <w:highlight w:val="none"/>
          <w:lang w:val="zh-CN"/>
        </w:rPr>
        <w:t>响应情况表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_Toc17797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44</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8EE50DB">
      <w:pPr>
        <w:pStyle w:val="26"/>
        <w:tabs>
          <w:tab w:val="right" w:leader="dot" w:pos="8844"/>
        </w:tabs>
        <w:spacing w:line="400" w:lineRule="exact"/>
        <w:ind w:left="0" w:leftChars="0" w:firstLine="480" w:firstLineChars="200"/>
        <w:rPr>
          <w:rFonts w:ascii="宋体" w:hAnsi="宋体" w:cs="宋体"/>
          <w:sz w:val="24"/>
          <w:szCs w:val="24"/>
          <w:highlight w:val="none"/>
        </w:rPr>
      </w:pPr>
      <w:r>
        <w:rPr>
          <w:rFonts w:hint="eastAsia" w:ascii="宋体" w:hAnsi="宋体" w:cs="宋体"/>
          <w:sz w:val="24"/>
          <w:szCs w:val="24"/>
          <w:highlight w:val="none"/>
        </w:rPr>
        <w:t xml:space="preserve">附件七 </w:t>
      </w:r>
      <w:r>
        <w:rPr>
          <w:highlight w:val="none"/>
        </w:rPr>
        <w:fldChar w:fldCharType="begin"/>
      </w:r>
      <w:r>
        <w:rPr>
          <w:highlight w:val="none"/>
        </w:rPr>
        <w:instrText xml:space="preserve"> HYPERLINK \l "_Toc30527" </w:instrText>
      </w:r>
      <w:r>
        <w:rPr>
          <w:highlight w:val="none"/>
        </w:rPr>
        <w:fldChar w:fldCharType="separate"/>
      </w:r>
      <w:r>
        <w:rPr>
          <w:rFonts w:hint="eastAsia" w:ascii="宋体" w:hAnsi="宋体" w:cs="宋体"/>
          <w:sz w:val="24"/>
          <w:szCs w:val="24"/>
          <w:highlight w:val="none"/>
        </w:rPr>
        <w:t>相关服务承诺函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_Toc30527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45</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CF647A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"_Toc2879" </w:instrText>
      </w:r>
      <w:r>
        <w:rPr>
          <w:highlight w:val="none"/>
        </w:rPr>
        <w:fldChar w:fldCharType="separate"/>
      </w:r>
      <w:r>
        <w:rPr>
          <w:rFonts w:hint="eastAsia" w:ascii="宋体" w:hAnsi="宋体" w:cs="宋体"/>
          <w:sz w:val="24"/>
          <w:szCs w:val="24"/>
          <w:highlight w:val="none"/>
        </w:rPr>
        <w:t xml:space="preserve">附件八 </w:t>
      </w:r>
      <w:r>
        <w:rPr>
          <w:rFonts w:hint="eastAsia" w:ascii="宋体" w:hAnsi="宋体" w:cs="宋体"/>
          <w:bCs/>
          <w:sz w:val="24"/>
          <w:szCs w:val="24"/>
          <w:highlight w:val="none"/>
        </w:rPr>
        <w:t>磋商文件要求和供应商认为需要提供的其它说明和资料</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_Toc2879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CA58A6E">
      <w:pPr>
        <w:pStyle w:val="26"/>
        <w:tabs>
          <w:tab w:val="right" w:leader="dot" w:pos="8844"/>
        </w:tabs>
        <w:spacing w:line="400" w:lineRule="exact"/>
        <w:ind w:left="0" w:leftChars="0" w:firstLine="480" w:firstLineChars="200"/>
        <w:rPr>
          <w:rFonts w:ascii="宋体" w:hAnsi="宋体" w:cs="宋体"/>
          <w:sz w:val="24"/>
          <w:szCs w:val="24"/>
          <w:highlight w:val="none"/>
        </w:rPr>
      </w:pPr>
    </w:p>
    <w:p w14:paraId="1F301ACF">
      <w:pPr>
        <w:pStyle w:val="26"/>
        <w:tabs>
          <w:tab w:val="right" w:leader="dot" w:pos="8844"/>
        </w:tabs>
        <w:spacing w:line="400" w:lineRule="exact"/>
        <w:ind w:left="0" w:leftChars="0" w:firstLine="480" w:firstLineChars="200"/>
        <w:rPr>
          <w:rFonts w:ascii="宋体" w:hAnsi="宋体" w:cs="宋体"/>
          <w:sz w:val="24"/>
          <w:szCs w:val="24"/>
          <w:highlight w:val="none"/>
        </w:rPr>
      </w:pPr>
    </w:p>
    <w:p w14:paraId="049D075A">
      <w:pPr>
        <w:pStyle w:val="26"/>
        <w:tabs>
          <w:tab w:val="right" w:leader="dot" w:pos="8778"/>
        </w:tabs>
        <w:spacing w:line="400" w:lineRule="exact"/>
        <w:ind w:left="0" w:leftChars="0"/>
        <w:rPr>
          <w:sz w:val="28"/>
          <w:szCs w:val="28"/>
          <w:highlight w:val="none"/>
        </w:rPr>
      </w:pPr>
      <w:r>
        <w:rPr>
          <w:rFonts w:hint="eastAsia" w:ascii="宋体" w:hAnsi="宋体" w:cs="宋体"/>
          <w:sz w:val="24"/>
          <w:szCs w:val="24"/>
          <w:highlight w:val="none"/>
        </w:rPr>
        <w:fldChar w:fldCharType="end"/>
      </w:r>
      <w:bookmarkStart w:id="0" w:name="_Toc216158623"/>
      <w:bookmarkStart w:id="1" w:name="_Toc363199264"/>
      <w:r>
        <w:rPr>
          <w:rFonts w:hint="eastAsia"/>
          <w:sz w:val="28"/>
          <w:szCs w:val="28"/>
          <w:highlight w:val="none"/>
        </w:rPr>
        <w:br w:type="page"/>
      </w:r>
    </w:p>
    <w:p w14:paraId="5E93D57B">
      <w:pPr>
        <w:pStyle w:val="3"/>
        <w:spacing w:before="120" w:beforeLines="50" w:after="120" w:afterLines="50" w:line="520" w:lineRule="exact"/>
        <w:jc w:val="center"/>
        <w:rPr>
          <w:rFonts w:hint="eastAsia" w:ascii="华文中宋" w:hAnsi="华文中宋" w:eastAsia="华文中宋" w:cs="华文中宋"/>
          <w:b w:val="0"/>
          <w:bCs/>
          <w:sz w:val="44"/>
          <w:szCs w:val="44"/>
          <w:highlight w:val="none"/>
        </w:rPr>
      </w:pPr>
      <w:bookmarkStart w:id="2" w:name="_Toc1863"/>
      <w:bookmarkStart w:id="3" w:name="_Toc30186"/>
      <w:r>
        <w:rPr>
          <w:rFonts w:hint="eastAsia" w:ascii="华文中宋" w:hAnsi="华文中宋" w:eastAsia="华文中宋" w:cs="华文中宋"/>
          <w:b w:val="0"/>
          <w:bCs/>
          <w:sz w:val="44"/>
          <w:szCs w:val="44"/>
          <w:highlight w:val="none"/>
          <w:lang w:eastAsia="zh-CN"/>
        </w:rPr>
        <w:t>国防教育准军事化管理服务项目</w:t>
      </w:r>
      <w:r>
        <w:rPr>
          <w:rFonts w:hint="eastAsia" w:ascii="华文中宋" w:hAnsi="华文中宋" w:eastAsia="华文中宋" w:cs="华文中宋"/>
          <w:b w:val="0"/>
          <w:bCs/>
          <w:sz w:val="44"/>
          <w:szCs w:val="44"/>
          <w:highlight w:val="none"/>
        </w:rPr>
        <w:t>竞争性磋商采购公告</w:t>
      </w:r>
      <w:bookmarkEnd w:id="2"/>
      <w:bookmarkEnd w:id="3"/>
    </w:p>
    <w:p w14:paraId="118D2290">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国防教育准军事化管理服务项目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DBSCG-2024-139</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10</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21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rPr>
          <w:rFonts w:ascii="黑体" w:hAnsi="黑体" w:cs="黑体"/>
          <w:b w:val="0"/>
          <w:bCs/>
          <w:sz w:val="28"/>
          <w:szCs w:val="28"/>
          <w:highlight w:val="none"/>
        </w:rPr>
      </w:pPr>
      <w:bookmarkStart w:id="4" w:name="_Toc28359089"/>
      <w:bookmarkStart w:id="5" w:name="_Toc35393629"/>
      <w:bookmarkStart w:id="6" w:name="_Toc9864"/>
      <w:bookmarkStart w:id="7" w:name="_Toc35393798"/>
      <w:bookmarkStart w:id="8" w:name="_Toc28359012"/>
      <w:r>
        <w:rPr>
          <w:rFonts w:hint="eastAsia" w:ascii="黑体" w:hAnsi="黑体" w:cs="黑体"/>
          <w:b w:val="0"/>
          <w:bCs/>
          <w:sz w:val="28"/>
          <w:szCs w:val="28"/>
          <w:highlight w:val="none"/>
        </w:rPr>
        <w:t>一、项目基本情况</w:t>
      </w:r>
      <w:bookmarkEnd w:id="4"/>
      <w:bookmarkEnd w:id="5"/>
      <w:bookmarkEnd w:id="6"/>
      <w:bookmarkEnd w:id="7"/>
      <w:bookmarkEnd w:id="8"/>
    </w:p>
    <w:p w14:paraId="1633B2C7">
      <w:pPr>
        <w:spacing w:line="520" w:lineRule="exact"/>
        <w:ind w:firstLine="560" w:firstLineChars="200"/>
        <w:rPr>
          <w:rFonts w:hint="eastAsia" w:ascii="宋体" w:hAnsi="宋体" w:eastAsia="宋体" w:cs="宋体"/>
          <w:color w:val="333333"/>
          <w:sz w:val="24"/>
          <w:szCs w:val="24"/>
          <w:highlight w:val="none"/>
          <w:shd w:val="clear" w:color="auto" w:fill="FFFFFF"/>
          <w:lang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 xml:space="preserve">DBSCG-2024-139    </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国防教育准军事化管理服务项目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752DC4CB">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5、资金来源：学生自筹，学校代收代管。</w:t>
      </w:r>
      <w:r>
        <w:rPr>
          <w:rFonts w:hint="eastAsia" w:ascii="仿宋" w:hAnsi="仿宋" w:eastAsia="仿宋" w:cs="仿宋"/>
          <w:sz w:val="28"/>
          <w:szCs w:val="28"/>
          <w:highlight w:val="none"/>
        </w:rPr>
        <w:t xml:space="preserve"> </w:t>
      </w:r>
    </w:p>
    <w:p w14:paraId="533B1FA9">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single"/>
          <w:lang w:val="en-US" w:eastAsia="zh-CN"/>
        </w:rPr>
        <w:t>99万元</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6、最高限价：</w:t>
      </w:r>
      <w:r>
        <w:rPr>
          <w:rFonts w:hint="eastAsia" w:ascii="仿宋" w:hAnsi="仿宋" w:eastAsia="仿宋" w:cs="仿宋"/>
          <w:sz w:val="28"/>
          <w:szCs w:val="28"/>
          <w:highlight w:val="none"/>
          <w:u w:val="single"/>
          <w:lang w:val="en-US" w:eastAsia="zh-CN"/>
        </w:rPr>
        <w:t>99万元</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rPr>
        <w:t>7、采购需求：</w:t>
      </w:r>
      <w:r>
        <w:rPr>
          <w:rFonts w:hint="eastAsia" w:ascii="仿宋" w:hAnsi="仿宋" w:eastAsia="仿宋" w:cs="仿宋"/>
          <w:sz w:val="28"/>
          <w:szCs w:val="28"/>
          <w:highlight w:val="none"/>
          <w:lang w:eastAsia="zh-CN"/>
        </w:rPr>
        <w:t>负责学生日常行为规范训练、入学教育、日常军体课教学、国防教育、爱国主义教育等准军事化管理。住校学生宿舍管理、卫生、生活习惯及所有在校学生校园内安全。</w:t>
      </w:r>
      <w:r>
        <w:rPr>
          <w:rFonts w:hint="eastAsia" w:ascii="仿宋" w:hAnsi="仿宋" w:eastAsia="仿宋" w:cs="仿宋"/>
          <w:sz w:val="28"/>
          <w:szCs w:val="28"/>
          <w:highlight w:val="none"/>
          <w:lang w:val="en-US" w:eastAsia="zh-CN"/>
        </w:rPr>
        <w:t>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8、合同履行期限：</w:t>
      </w:r>
      <w:r>
        <w:rPr>
          <w:rFonts w:hint="eastAsia" w:ascii="仿宋" w:hAnsi="仿宋" w:eastAsia="仿宋" w:cs="仿宋"/>
          <w:sz w:val="28"/>
          <w:szCs w:val="28"/>
          <w:highlight w:val="none"/>
          <w:lang w:eastAsia="zh-CN"/>
        </w:rPr>
        <w:t>三年（合同一年一签，每年服务期满经学校考核合格后，续签下年合同）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9、是否接受联合体：本项目不接受联合体。</w:t>
      </w:r>
    </w:p>
    <w:p w14:paraId="07B7F975">
      <w:pPr>
        <w:pStyle w:val="3"/>
        <w:adjustRightInd/>
        <w:spacing w:before="0" w:after="0" w:line="520" w:lineRule="exact"/>
        <w:jc w:val="both"/>
        <w:textAlignment w:val="auto"/>
        <w:rPr>
          <w:rFonts w:ascii="黑体" w:hAnsi="黑体" w:cs="黑体"/>
          <w:b w:val="0"/>
          <w:bCs/>
          <w:sz w:val="28"/>
          <w:szCs w:val="28"/>
          <w:highlight w:val="none"/>
        </w:rPr>
      </w:pPr>
      <w:bookmarkStart w:id="9" w:name="_Toc8072"/>
      <w:bookmarkStart w:id="10" w:name="_Toc35393799"/>
      <w:bookmarkStart w:id="11" w:name="_Toc28359013"/>
      <w:bookmarkStart w:id="12" w:name="_Toc28359090"/>
      <w:bookmarkStart w:id="13" w:name="_Toc35393630"/>
      <w:bookmarkStart w:id="14" w:name="_Toc28359014"/>
      <w:bookmarkStart w:id="15" w:name="_Toc28359091"/>
      <w:r>
        <w:rPr>
          <w:rFonts w:hint="eastAsia" w:ascii="黑体" w:hAnsi="黑体" w:cs="黑体"/>
          <w:b w:val="0"/>
          <w:bCs/>
          <w:sz w:val="28"/>
          <w:szCs w:val="28"/>
          <w:highlight w:val="none"/>
        </w:rPr>
        <w:t>二、申请人的资格要求</w:t>
      </w:r>
      <w:bookmarkEnd w:id="9"/>
      <w:bookmarkEnd w:id="10"/>
      <w:bookmarkEnd w:id="11"/>
      <w:bookmarkEnd w:id="12"/>
      <w:bookmarkEnd w:id="13"/>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w:t>
      </w:r>
      <w:r>
        <w:rPr>
          <w:rFonts w:hint="eastAsia" w:ascii="仿宋" w:hAnsi="仿宋" w:eastAsia="仿宋" w:cs="仿宋"/>
          <w:sz w:val="28"/>
          <w:szCs w:val="28"/>
          <w:highlight w:val="none"/>
          <w:lang w:val="en-US" w:eastAsia="zh-CN"/>
        </w:rPr>
        <w:t>无</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rPr>
          <w:rFonts w:ascii="黑体" w:hAnsi="黑体" w:cs="黑体"/>
          <w:b w:val="0"/>
          <w:bCs/>
          <w:sz w:val="28"/>
          <w:szCs w:val="28"/>
          <w:highlight w:val="none"/>
        </w:rPr>
      </w:pPr>
      <w:bookmarkStart w:id="16" w:name="_Toc35393800"/>
      <w:bookmarkStart w:id="17" w:name="_Toc32583"/>
      <w:bookmarkStart w:id="18" w:name="_Toc35393631"/>
      <w:r>
        <w:rPr>
          <w:rFonts w:hint="eastAsia" w:ascii="黑体" w:hAnsi="黑体" w:cs="黑体"/>
          <w:b w:val="0"/>
          <w:bCs/>
          <w:sz w:val="28"/>
          <w:szCs w:val="28"/>
          <w:highlight w:val="none"/>
        </w:rPr>
        <w:t>三、获取采购文件</w:t>
      </w:r>
      <w:bookmarkEnd w:id="14"/>
      <w:bookmarkEnd w:id="15"/>
      <w:bookmarkEnd w:id="16"/>
      <w:bookmarkEnd w:id="17"/>
      <w:bookmarkEnd w:id="18"/>
    </w:p>
    <w:p w14:paraId="1C11B39C">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10 </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21 </w:t>
      </w:r>
      <w:r>
        <w:rPr>
          <w:rFonts w:hint="eastAsia" w:ascii="仿宋" w:hAnsi="仿宋" w:eastAsia="仿宋" w:cs="仿宋"/>
          <w:bCs/>
          <w:sz w:val="28"/>
          <w:szCs w:val="28"/>
          <w:highlight w:val="none"/>
        </w:rPr>
        <w:t>日</w:t>
      </w:r>
      <w:r>
        <w:rPr>
          <w:rFonts w:hint="eastAsia" w:ascii="仿宋" w:hAnsi="仿宋" w:eastAsia="仿宋" w:cs="仿宋"/>
          <w:sz w:val="28"/>
          <w:szCs w:val="28"/>
          <w:highlight w:val="none"/>
        </w:rPr>
        <w:t>（北京时间）</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rPr>
          <w:rFonts w:ascii="黑体" w:hAnsi="黑体" w:cs="黑体"/>
          <w:b w:val="0"/>
          <w:bCs/>
          <w:sz w:val="28"/>
          <w:szCs w:val="28"/>
          <w:highlight w:val="none"/>
        </w:rPr>
      </w:pPr>
      <w:bookmarkStart w:id="19" w:name="_Toc35393801"/>
      <w:bookmarkStart w:id="20" w:name="_Toc28359092"/>
      <w:bookmarkStart w:id="21" w:name="_Toc28359015"/>
      <w:bookmarkStart w:id="22" w:name="_Toc35393632"/>
      <w:bookmarkStart w:id="23" w:name="_Toc26077"/>
      <w:r>
        <w:rPr>
          <w:rFonts w:hint="eastAsia" w:ascii="黑体" w:hAnsi="黑体" w:cs="黑体"/>
          <w:b w:val="0"/>
          <w:bCs/>
          <w:sz w:val="28"/>
          <w:szCs w:val="28"/>
          <w:highlight w:val="none"/>
        </w:rPr>
        <w:t>四、响应文件</w:t>
      </w:r>
      <w:bookmarkEnd w:id="19"/>
      <w:bookmarkEnd w:id="20"/>
      <w:bookmarkEnd w:id="21"/>
      <w:bookmarkEnd w:id="22"/>
      <w:r>
        <w:rPr>
          <w:rFonts w:hint="eastAsia" w:ascii="黑体" w:hAnsi="黑体" w:cs="黑体"/>
          <w:b w:val="0"/>
          <w:bCs/>
          <w:sz w:val="28"/>
          <w:szCs w:val="28"/>
          <w:highlight w:val="none"/>
        </w:rPr>
        <w:t>提交</w:t>
      </w:r>
      <w:bookmarkEnd w:id="23"/>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21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rPr>
          <w:rFonts w:ascii="黑体" w:hAnsi="黑体" w:cs="黑体"/>
          <w:b w:val="0"/>
          <w:bCs/>
          <w:sz w:val="28"/>
          <w:szCs w:val="28"/>
          <w:highlight w:val="none"/>
        </w:rPr>
      </w:pPr>
      <w:bookmarkStart w:id="24" w:name="_Toc35393802"/>
      <w:bookmarkStart w:id="25" w:name="_Toc35393633"/>
      <w:bookmarkStart w:id="26" w:name="_Toc28359093"/>
      <w:bookmarkStart w:id="27" w:name="_Toc28359016"/>
      <w:bookmarkStart w:id="28" w:name="_Toc11900"/>
      <w:r>
        <w:rPr>
          <w:rFonts w:hint="eastAsia" w:ascii="黑体" w:hAnsi="黑体" w:cs="黑体"/>
          <w:b w:val="0"/>
          <w:bCs/>
          <w:sz w:val="28"/>
          <w:szCs w:val="28"/>
          <w:highlight w:val="none"/>
        </w:rPr>
        <w:t>五、</w:t>
      </w:r>
      <w:bookmarkEnd w:id="24"/>
      <w:bookmarkEnd w:id="25"/>
      <w:bookmarkEnd w:id="26"/>
      <w:bookmarkEnd w:id="27"/>
      <w:r>
        <w:rPr>
          <w:rFonts w:hint="eastAsia" w:ascii="黑体" w:hAnsi="黑体" w:cs="黑体"/>
          <w:b w:val="0"/>
          <w:bCs/>
          <w:sz w:val="28"/>
          <w:szCs w:val="28"/>
          <w:highlight w:val="none"/>
        </w:rPr>
        <w:t>响应文件开启</w:t>
      </w:r>
      <w:bookmarkEnd w:id="28"/>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21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2"/>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rPr>
          <w:rFonts w:ascii="黑体" w:hAnsi="黑体" w:cs="黑体"/>
          <w:b w:val="0"/>
          <w:bCs/>
          <w:sz w:val="28"/>
          <w:szCs w:val="28"/>
          <w:highlight w:val="none"/>
        </w:rPr>
      </w:pPr>
      <w:bookmarkStart w:id="29" w:name="_Toc35393634"/>
      <w:bookmarkStart w:id="30" w:name="_Toc28359017"/>
      <w:bookmarkStart w:id="31" w:name="_Toc35393803"/>
      <w:bookmarkStart w:id="32" w:name="_Toc6439"/>
      <w:bookmarkStart w:id="33" w:name="_Toc28359094"/>
      <w:r>
        <w:rPr>
          <w:rFonts w:hint="eastAsia" w:ascii="黑体" w:hAnsi="黑体" w:cs="黑体"/>
          <w:b w:val="0"/>
          <w:bCs/>
          <w:sz w:val="28"/>
          <w:szCs w:val="28"/>
          <w:highlight w:val="none"/>
        </w:rPr>
        <w:t>六、公告期限</w:t>
      </w:r>
      <w:bookmarkEnd w:id="29"/>
      <w:bookmarkEnd w:id="30"/>
      <w:bookmarkEnd w:id="31"/>
      <w:bookmarkEnd w:id="32"/>
      <w:bookmarkEnd w:id="33"/>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10</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日历天</w:t>
      </w:r>
      <w:r>
        <w:rPr>
          <w:rFonts w:hint="eastAsia" w:ascii="仿宋" w:hAnsi="仿宋" w:eastAsia="仿宋" w:cs="仿宋"/>
          <w:kern w:val="0"/>
          <w:sz w:val="28"/>
          <w:szCs w:val="28"/>
          <w:highlight w:val="none"/>
        </w:rPr>
        <w:t>。</w:t>
      </w:r>
    </w:p>
    <w:p w14:paraId="477A9E33">
      <w:pPr>
        <w:spacing w:line="520" w:lineRule="exact"/>
        <w:rPr>
          <w:rFonts w:ascii="黑体" w:hAnsi="黑体" w:eastAsia="黑体" w:cs="黑体"/>
          <w:sz w:val="28"/>
          <w:szCs w:val="28"/>
          <w:highlight w:val="none"/>
        </w:rPr>
      </w:pPr>
      <w:r>
        <w:rPr>
          <w:rFonts w:hint="eastAsia" w:ascii="黑体" w:hAnsi="黑体" w:eastAsia="黑体" w:cs="黑体"/>
          <w:sz w:val="28"/>
          <w:szCs w:val="28"/>
          <w:highlight w:val="none"/>
        </w:rPr>
        <w:t>七、</w:t>
      </w:r>
      <w:bookmarkStart w:id="34" w:name="_Toc35393635"/>
      <w:bookmarkStart w:id="35" w:name="_Toc35393804"/>
      <w:r>
        <w:rPr>
          <w:rFonts w:hint="eastAsia" w:ascii="黑体" w:hAnsi="黑体" w:eastAsia="黑体" w:cs="黑体"/>
          <w:sz w:val="28"/>
          <w:szCs w:val="28"/>
          <w:highlight w:val="none"/>
        </w:rPr>
        <w:t>其他事宜</w:t>
      </w:r>
      <w:bookmarkEnd w:id="34"/>
      <w:bookmarkEnd w:id="35"/>
      <w:bookmarkStart w:id="36" w:name="_Toc35393805"/>
      <w:bookmarkStart w:id="37" w:name="_Toc35393636"/>
      <w:bookmarkStart w:id="38" w:name="_Toc28359095"/>
      <w:bookmarkStart w:id="39" w:name="_Toc28359018"/>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rPr>
          <w:rFonts w:ascii="黑体" w:hAnsi="黑体" w:cs="黑体"/>
          <w:b w:val="0"/>
          <w:bCs/>
          <w:sz w:val="28"/>
          <w:szCs w:val="28"/>
          <w:highlight w:val="none"/>
        </w:rPr>
      </w:pPr>
      <w:bookmarkStart w:id="40" w:name="_Toc21256"/>
      <w:bookmarkStart w:id="41" w:name="_Toc7807"/>
      <w:r>
        <w:rPr>
          <w:rFonts w:hint="eastAsia" w:ascii="黑体" w:hAnsi="黑体" w:cs="黑体"/>
          <w:b w:val="0"/>
          <w:bCs/>
          <w:sz w:val="28"/>
          <w:szCs w:val="28"/>
          <w:highlight w:val="none"/>
        </w:rPr>
        <w:t>八、凡对本次采购提出询问，请按以下方式联系。</w:t>
      </w:r>
      <w:bookmarkEnd w:id="36"/>
      <w:bookmarkEnd w:id="37"/>
      <w:bookmarkEnd w:id="38"/>
      <w:bookmarkEnd w:id="39"/>
      <w:bookmarkEnd w:id="40"/>
      <w:bookmarkEnd w:id="41"/>
    </w:p>
    <w:p w14:paraId="28C197CE">
      <w:pPr>
        <w:pStyle w:val="3"/>
        <w:adjustRightInd/>
        <w:spacing w:before="0" w:after="0" w:line="520" w:lineRule="exact"/>
        <w:ind w:firstLine="560" w:firstLineChars="200"/>
        <w:jc w:val="both"/>
        <w:textAlignment w:val="auto"/>
        <w:rPr>
          <w:rFonts w:ascii="仿宋" w:hAnsi="仿宋" w:eastAsia="仿宋" w:cs="仿宋"/>
          <w:b w:val="0"/>
          <w:bCs/>
          <w:sz w:val="28"/>
          <w:szCs w:val="28"/>
          <w:highlight w:val="none"/>
        </w:rPr>
      </w:pPr>
      <w:bookmarkStart w:id="42" w:name="_Toc17822"/>
      <w:bookmarkStart w:id="43" w:name="_Toc12167"/>
      <w:bookmarkStart w:id="44" w:name="_Toc28359096"/>
      <w:bookmarkStart w:id="45" w:name="_Toc35393806"/>
      <w:bookmarkStart w:id="46" w:name="_Toc35393637"/>
      <w:bookmarkStart w:id="47" w:name="_Toc28359019"/>
      <w:r>
        <w:rPr>
          <w:rFonts w:hint="eastAsia" w:ascii="仿宋" w:hAnsi="仿宋" w:eastAsia="仿宋" w:cs="仿宋"/>
          <w:b w:val="0"/>
          <w:bCs/>
          <w:sz w:val="28"/>
          <w:szCs w:val="28"/>
          <w:highlight w:val="none"/>
        </w:rPr>
        <w:t>1、采购人信息</w:t>
      </w:r>
      <w:bookmarkEnd w:id="42"/>
      <w:bookmarkEnd w:id="43"/>
      <w:bookmarkEnd w:id="44"/>
      <w:bookmarkEnd w:id="45"/>
      <w:bookmarkEnd w:id="46"/>
      <w:bookmarkEnd w:id="47"/>
    </w:p>
    <w:p w14:paraId="23BB053E">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霍山职业学校</w:t>
      </w:r>
    </w:p>
    <w:p w14:paraId="5436CCFA">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六安市霍山县潜台路</w:t>
      </w:r>
    </w:p>
    <w:p w14:paraId="2F7628BB">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48" w:name="_Toc35393638"/>
      <w:bookmarkStart w:id="49" w:name="_Toc28359020"/>
      <w:bookmarkStart w:id="50" w:name="_Toc28359097"/>
      <w:bookmarkStart w:id="51" w:name="_Toc35393807"/>
      <w:r>
        <w:rPr>
          <w:rFonts w:hint="eastAsia" w:ascii="仿宋" w:hAnsi="仿宋" w:eastAsia="仿宋" w:cs="仿宋"/>
          <w:bCs/>
          <w:sz w:val="28"/>
          <w:szCs w:val="28"/>
          <w:highlight w:val="none"/>
          <w:lang w:val="en-US" w:eastAsia="zh-CN"/>
        </w:rPr>
        <w:t xml:space="preserve">0564-5233966 </w:t>
      </w:r>
    </w:p>
    <w:p w14:paraId="6C59CAF2">
      <w:pPr>
        <w:numPr>
          <w:ilvl w:val="0"/>
          <w:numId w:val="2"/>
        </w:num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采购代理机构信息</w:t>
      </w:r>
      <w:bookmarkEnd w:id="48"/>
      <w:bookmarkEnd w:id="49"/>
      <w:bookmarkEnd w:id="50"/>
      <w:bookmarkEnd w:id="51"/>
      <w:bookmarkStart w:id="52" w:name="_Toc28359098"/>
      <w:bookmarkStart w:id="53" w:name="_Toc28359021"/>
      <w:bookmarkStart w:id="54" w:name="_Toc35393639"/>
      <w:bookmarkStart w:id="55" w:name="_Toc35393808"/>
    </w:p>
    <w:p w14:paraId="47D63E08">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spacing w:line="520" w:lineRule="exact"/>
        <w:ind w:left="420" w:leftChars="200"/>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2"/>
      <w:bookmarkEnd w:id="53"/>
      <w:bookmarkEnd w:id="54"/>
      <w:bookmarkEnd w:id="55"/>
    </w:p>
    <w:p w14:paraId="527A759D">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刘工</w:t>
      </w:r>
    </w:p>
    <w:p w14:paraId="24FDD6CB">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2"/>
        <w:spacing w:line="520" w:lineRule="exact"/>
        <w:ind w:firstLine="0"/>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10</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3"/>
        <w:spacing w:before="120" w:beforeLines="50" w:after="120" w:afterLines="50" w:line="560" w:lineRule="exact"/>
        <w:jc w:val="center"/>
        <w:rPr>
          <w:rFonts w:ascii="宋体" w:hAnsi="宋体" w:eastAsia="宋体" w:cs="宋体"/>
          <w:sz w:val="28"/>
          <w:szCs w:val="28"/>
          <w:highlight w:val="none"/>
        </w:rPr>
      </w:pPr>
      <w:bookmarkStart w:id="56" w:name="_Toc21819"/>
      <w:r>
        <w:rPr>
          <w:rFonts w:hint="eastAsia" w:ascii="宋体" w:hAnsi="宋体" w:eastAsia="宋体" w:cs="宋体"/>
          <w:sz w:val="28"/>
          <w:szCs w:val="28"/>
          <w:highlight w:val="none"/>
        </w:rPr>
        <w:t>一、供应商须知</w:t>
      </w:r>
      <w:bookmarkEnd w:id="0"/>
      <w:bookmarkEnd w:id="1"/>
      <w:bookmarkEnd w:id="56"/>
    </w:p>
    <w:p w14:paraId="11E6416E">
      <w:pPr>
        <w:pStyle w:val="3"/>
        <w:spacing w:before="0" w:after="0" w:line="560" w:lineRule="exact"/>
        <w:jc w:val="center"/>
        <w:rPr>
          <w:rFonts w:ascii="宋体" w:hAnsi="宋体" w:eastAsia="宋体" w:cs="宋体"/>
          <w:sz w:val="24"/>
          <w:szCs w:val="24"/>
          <w:highlight w:val="none"/>
        </w:rPr>
      </w:pPr>
      <w:bookmarkStart w:id="57" w:name="_Toc22568"/>
      <w:r>
        <w:rPr>
          <w:rFonts w:hint="eastAsia" w:ascii="宋体" w:hAnsi="宋体" w:eastAsia="宋体" w:cs="宋体"/>
          <w:sz w:val="24"/>
          <w:szCs w:val="24"/>
          <w:highlight w:val="none"/>
        </w:rPr>
        <w:t>（一）须知前附表</w:t>
      </w:r>
      <w:bookmarkEnd w:id="57"/>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sz w:val="24"/>
                <w:szCs w:val="24"/>
                <w:highlight w:val="none"/>
              </w:rPr>
            </w:pPr>
            <w:bookmarkStart w:id="58" w:name="_Toc438107743"/>
            <w:bookmarkStart w:id="59" w:name="_Toc363199267"/>
            <w:bookmarkStart w:id="60" w:name="_Toc216158627"/>
            <w:r>
              <w:rPr>
                <w:rFonts w:hint="eastAsia" w:ascii="宋体" w:hAnsi="宋体"/>
                <w:b/>
                <w:sz w:val="24"/>
                <w:szCs w:val="24"/>
                <w:highlight w:val="none"/>
              </w:rPr>
              <w:t>序号</w:t>
            </w:r>
          </w:p>
        </w:tc>
        <w:tc>
          <w:tcPr>
            <w:tcW w:w="1502" w:type="dxa"/>
            <w:vAlign w:val="center"/>
          </w:tcPr>
          <w:p w14:paraId="58775CB8">
            <w:pPr>
              <w:spacing w:line="440" w:lineRule="exact"/>
              <w:jc w:val="center"/>
              <w:rPr>
                <w:rFonts w:ascii="宋体" w:hAnsi="宋体"/>
                <w:b/>
                <w:sz w:val="24"/>
                <w:szCs w:val="24"/>
                <w:highlight w:val="none"/>
              </w:rPr>
            </w:pPr>
            <w:r>
              <w:rPr>
                <w:rFonts w:hint="eastAsia" w:ascii="宋体" w:hAnsi="宋体"/>
                <w:b/>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kern w:val="2"/>
                <w:sz w:val="24"/>
                <w:szCs w:val="24"/>
                <w:highlight w:val="none"/>
              </w:rPr>
            </w:pPr>
            <w:r>
              <w:rPr>
                <w:rFonts w:hint="eastAsia"/>
                <w:bCs w:val="0"/>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w:t>
            </w:r>
          </w:p>
        </w:tc>
        <w:tc>
          <w:tcPr>
            <w:tcW w:w="1502" w:type="dxa"/>
            <w:vAlign w:val="center"/>
          </w:tcPr>
          <w:p w14:paraId="60B508EC">
            <w:pPr>
              <w:spacing w:line="440" w:lineRule="exact"/>
              <w:jc w:val="center"/>
              <w:rPr>
                <w:rFonts w:ascii="宋体" w:hAnsi="宋体"/>
                <w:sz w:val="24"/>
                <w:szCs w:val="24"/>
                <w:highlight w:val="none"/>
              </w:rPr>
            </w:pPr>
            <w:r>
              <w:rPr>
                <w:rFonts w:hint="eastAsia" w:ascii="宋体" w:hAnsi="宋体"/>
                <w:bCs/>
                <w:sz w:val="24"/>
                <w:szCs w:val="24"/>
                <w:highlight w:val="none"/>
              </w:rPr>
              <w:t>采购人</w:t>
            </w:r>
          </w:p>
        </w:tc>
        <w:tc>
          <w:tcPr>
            <w:tcW w:w="7308" w:type="dxa"/>
            <w:vAlign w:val="center"/>
          </w:tcPr>
          <w:p w14:paraId="15F61590">
            <w:pPr>
              <w:spacing w:line="440" w:lineRule="exact"/>
              <w:rPr>
                <w:rFonts w:hint="default" w:eastAsia="宋体"/>
                <w:sz w:val="24"/>
                <w:szCs w:val="24"/>
                <w:highlight w:val="none"/>
                <w:lang w:val="en-US" w:eastAsia="zh-CN"/>
              </w:rPr>
            </w:pPr>
            <w:r>
              <w:rPr>
                <w:rFonts w:hint="eastAsia"/>
                <w:sz w:val="24"/>
                <w:szCs w:val="24"/>
                <w:highlight w:val="none"/>
                <w:lang w:val="en-US" w:eastAsia="zh-CN"/>
              </w:rPr>
              <w:t>霍山职业学校</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2</w:t>
            </w:r>
          </w:p>
        </w:tc>
        <w:tc>
          <w:tcPr>
            <w:tcW w:w="1502" w:type="dxa"/>
            <w:vAlign w:val="center"/>
          </w:tcPr>
          <w:p w14:paraId="6E8CBDFC">
            <w:pPr>
              <w:spacing w:line="440" w:lineRule="exact"/>
              <w:jc w:val="center"/>
              <w:rPr>
                <w:rFonts w:ascii="宋体" w:hAnsi="宋体"/>
                <w:bCs/>
                <w:sz w:val="24"/>
                <w:szCs w:val="24"/>
                <w:highlight w:val="none"/>
              </w:rPr>
            </w:pPr>
            <w:r>
              <w:rPr>
                <w:rFonts w:hint="eastAsia" w:ascii="宋体" w:hAnsi="宋体"/>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名称：</w:t>
            </w:r>
            <w:r>
              <w:rPr>
                <w:rFonts w:hint="eastAsia" w:ascii="宋体" w:hAnsi="宋体" w:cs="宋体"/>
                <w:sz w:val="24"/>
                <w:szCs w:val="24"/>
                <w:highlight w:val="none"/>
                <w:lang w:eastAsia="zh-CN"/>
              </w:rPr>
              <w:t>安徽大别山工程咨询有限公司</w:t>
            </w:r>
          </w:p>
          <w:p w14:paraId="46E0FC45">
            <w:pPr>
              <w:spacing w:line="440" w:lineRule="exact"/>
              <w:jc w:val="left"/>
              <w:rPr>
                <w:rFonts w:hint="eastAsia" w:eastAsia="宋体"/>
                <w:b/>
                <w:bCs/>
                <w:sz w:val="24"/>
                <w:szCs w:val="24"/>
                <w:highlight w:val="none"/>
                <w:lang w:eastAsia="zh-CN"/>
              </w:rPr>
            </w:pPr>
            <w:r>
              <w:rPr>
                <w:rFonts w:hint="eastAsia" w:ascii="宋体" w:hAnsi="宋体" w:cs="宋体"/>
                <w:sz w:val="24"/>
                <w:szCs w:val="24"/>
                <w:highlight w:val="none"/>
              </w:rPr>
              <w:t>地址：</w:t>
            </w:r>
            <w:r>
              <w:rPr>
                <w:rFonts w:hint="eastAsia" w:ascii="宋体" w:hAnsi="宋体" w:cs="宋体"/>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3</w:t>
            </w:r>
          </w:p>
        </w:tc>
        <w:tc>
          <w:tcPr>
            <w:tcW w:w="1502" w:type="dxa"/>
            <w:vAlign w:val="center"/>
          </w:tcPr>
          <w:p w14:paraId="24847605">
            <w:pPr>
              <w:spacing w:line="440" w:lineRule="exact"/>
              <w:jc w:val="center"/>
              <w:rPr>
                <w:rFonts w:ascii="宋体" w:hAnsi="宋体"/>
                <w:sz w:val="24"/>
                <w:szCs w:val="24"/>
                <w:highlight w:val="none"/>
              </w:rPr>
            </w:pPr>
            <w:r>
              <w:rPr>
                <w:rFonts w:hint="eastAsia" w:ascii="宋体" w:hAnsi="宋体"/>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响应文件提交截止日后</w:t>
            </w:r>
            <w:r>
              <w:rPr>
                <w:rFonts w:hint="eastAsia"/>
                <w:b w:val="0"/>
                <w:bCs w:val="0"/>
                <w:sz w:val="24"/>
                <w:szCs w:val="24"/>
                <w:highlight w:val="none"/>
                <w:lang w:val="en-US" w:eastAsia="zh-CN"/>
              </w:rPr>
              <w:t>20</w:t>
            </w:r>
            <w:r>
              <w:rPr>
                <w:rFonts w:hint="eastAsia"/>
                <w:b w:val="0"/>
                <w:bCs w:val="0"/>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4</w:t>
            </w:r>
          </w:p>
        </w:tc>
        <w:tc>
          <w:tcPr>
            <w:tcW w:w="1502" w:type="dxa"/>
            <w:vAlign w:val="center"/>
          </w:tcPr>
          <w:p w14:paraId="08DE7247">
            <w:pPr>
              <w:spacing w:line="440" w:lineRule="exact"/>
              <w:jc w:val="center"/>
              <w:rPr>
                <w:rFonts w:ascii="宋体" w:hAnsi="宋体"/>
                <w:b/>
                <w:sz w:val="24"/>
                <w:szCs w:val="24"/>
                <w:highlight w:val="none"/>
              </w:rPr>
            </w:pPr>
            <w:r>
              <w:rPr>
                <w:rFonts w:hint="eastAsia" w:ascii="宋体" w:hAnsi="宋体"/>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5</w:t>
            </w:r>
          </w:p>
        </w:tc>
        <w:tc>
          <w:tcPr>
            <w:tcW w:w="1502" w:type="dxa"/>
            <w:vAlign w:val="center"/>
          </w:tcPr>
          <w:p w14:paraId="5E770375">
            <w:pPr>
              <w:spacing w:line="440" w:lineRule="exact"/>
              <w:jc w:val="center"/>
              <w:rPr>
                <w:rFonts w:ascii="宋体" w:hAnsi="宋体"/>
                <w:sz w:val="24"/>
                <w:szCs w:val="24"/>
                <w:highlight w:val="none"/>
              </w:rPr>
            </w:pPr>
            <w:r>
              <w:rPr>
                <w:rFonts w:hint="eastAsia" w:ascii="宋体" w:hAnsi="宋体"/>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sz w:val="24"/>
                <w:szCs w:val="24"/>
                <w:highlight w:val="none"/>
              </w:rPr>
            </w:pPr>
            <w:r>
              <w:rPr>
                <w:rFonts w:hint="eastAsia" w:cs="宋体"/>
                <w:b w:val="0"/>
                <w:bCs/>
                <w:color w:val="333333"/>
                <w:sz w:val="24"/>
                <w:szCs w:val="24"/>
                <w:highlight w:val="none"/>
                <w:shd w:val="clear" w:color="auto" w:fill="FFFFFF"/>
                <w:lang w:eastAsia="zh-CN" w:bidi="ar"/>
              </w:rPr>
              <w:t>国防教育准军事化管理服务项目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6</w:t>
            </w:r>
          </w:p>
        </w:tc>
        <w:tc>
          <w:tcPr>
            <w:tcW w:w="1502" w:type="dxa"/>
            <w:vAlign w:val="center"/>
          </w:tcPr>
          <w:p w14:paraId="0E4FB165">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sz w:val="24"/>
                <w:szCs w:val="24"/>
                <w:highlight w:val="none"/>
                <w:lang w:eastAsia="zh-CN"/>
              </w:rPr>
            </w:pPr>
            <w:r>
              <w:rPr>
                <w:rFonts w:hint="eastAsia"/>
                <w:b w:val="0"/>
                <w:sz w:val="24"/>
                <w:szCs w:val="24"/>
                <w:highlight w:val="none"/>
                <w:lang w:eastAsia="zh-CN"/>
              </w:rPr>
              <w:t>DBSCG-2024-139</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7</w:t>
            </w:r>
          </w:p>
        </w:tc>
        <w:tc>
          <w:tcPr>
            <w:tcW w:w="1502" w:type="dxa"/>
            <w:vAlign w:val="center"/>
          </w:tcPr>
          <w:p w14:paraId="4E8E6C5E">
            <w:pPr>
              <w:spacing w:line="440" w:lineRule="exact"/>
              <w:jc w:val="center"/>
              <w:rPr>
                <w:rFonts w:ascii="宋体" w:hAnsi="宋体"/>
                <w:sz w:val="24"/>
                <w:szCs w:val="24"/>
                <w:highlight w:val="none"/>
              </w:rPr>
            </w:pPr>
            <w:r>
              <w:rPr>
                <w:rFonts w:hint="eastAsia" w:ascii="宋体" w:hAnsi="宋体"/>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333333"/>
                <w:sz w:val="24"/>
                <w:szCs w:val="24"/>
                <w:highlight w:val="none"/>
                <w:shd w:val="clear" w:color="auto" w:fill="FFFFFF"/>
                <w:lang w:eastAsia="zh-CN" w:bidi="ar"/>
              </w:rPr>
            </w:pPr>
            <w:r>
              <w:rPr>
                <w:rFonts w:hint="eastAsia" w:eastAsia="宋体" w:cs="宋体"/>
                <w:b w:val="0"/>
                <w:bCs/>
                <w:color w:val="333333"/>
                <w:sz w:val="24"/>
                <w:szCs w:val="24"/>
                <w:highlight w:val="none"/>
                <w:shd w:val="clear" w:color="auto" w:fill="FFFFFF"/>
                <w:lang w:eastAsia="zh-CN" w:bidi="ar"/>
              </w:rPr>
              <w:t>付款方式：</w:t>
            </w:r>
            <w:r>
              <w:rPr>
                <w:rFonts w:hint="eastAsia" w:eastAsia="宋体" w:cs="宋体"/>
                <w:b w:val="0"/>
                <w:bCs/>
                <w:color w:val="333333"/>
                <w:sz w:val="24"/>
                <w:szCs w:val="24"/>
                <w:highlight w:val="none"/>
                <w:shd w:val="clear" w:color="auto" w:fill="FFFFFF"/>
                <w:lang w:val="en-US" w:eastAsia="zh-CN" w:bidi="ar"/>
              </w:rPr>
              <w:t>本项目合同由霍山职业学校与中标单位签订军事化服务合同，提供军事化服务，校方对其进行管理。由学校按月付款，当月费用在下一月15日前付款，每月军事化服务费的基础费用，全年绩效工资作为考核费用，半年考核一次，根据综合考核结果于下一月15日前集中累计支付</w:t>
            </w:r>
            <w:r>
              <w:rPr>
                <w:rFonts w:hint="eastAsia" w:eastAsia="宋体" w:cs="宋体"/>
                <w:b w:val="0"/>
                <w:bCs/>
                <w:color w:val="333333"/>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sz w:val="24"/>
                <w:szCs w:val="24"/>
                <w:highlight w:val="none"/>
              </w:rPr>
            </w:pPr>
            <w:r>
              <w:rPr>
                <w:rFonts w:hint="eastAsia" w:cs="宋体"/>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8</w:t>
            </w:r>
          </w:p>
        </w:tc>
        <w:tc>
          <w:tcPr>
            <w:tcW w:w="1502" w:type="dxa"/>
            <w:vAlign w:val="center"/>
          </w:tcPr>
          <w:p w14:paraId="3A40DE17">
            <w:pPr>
              <w:spacing w:line="440" w:lineRule="exact"/>
              <w:jc w:val="center"/>
              <w:rPr>
                <w:rFonts w:ascii="宋体" w:hAnsi="宋体"/>
                <w:sz w:val="24"/>
                <w:szCs w:val="24"/>
                <w:highlight w:val="none"/>
              </w:rPr>
            </w:pPr>
            <w:r>
              <w:rPr>
                <w:rFonts w:hint="eastAsia" w:ascii="宋体" w:hAnsi="宋体"/>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sz w:val="24"/>
                <w:szCs w:val="24"/>
                <w:highlight w:val="none"/>
              </w:rPr>
            </w:pPr>
            <w:r>
              <w:rPr>
                <w:rFonts w:hint="eastAsia" w:eastAsia="宋体" w:cs="宋体"/>
                <w:b w:val="0"/>
                <w:bCs/>
                <w:color w:val="333333"/>
                <w:sz w:val="24"/>
                <w:szCs w:val="24"/>
                <w:highlight w:val="none"/>
                <w:shd w:val="clear" w:color="auto" w:fill="FFFFFF"/>
                <w:lang w:eastAsia="zh-CN" w:bidi="ar"/>
              </w:rPr>
              <w:t>三年（合同一年一签，</w:t>
            </w:r>
            <w:r>
              <w:rPr>
                <w:rFonts w:hint="eastAsia" w:cs="宋体"/>
                <w:b w:val="0"/>
                <w:bCs/>
                <w:color w:val="333333"/>
                <w:sz w:val="24"/>
                <w:szCs w:val="24"/>
                <w:highlight w:val="none"/>
                <w:shd w:val="clear" w:color="auto" w:fill="FFFFFF"/>
                <w:lang w:val="en-US" w:eastAsia="zh-CN" w:bidi="ar"/>
              </w:rPr>
              <w:t>每年服务期满经学校</w:t>
            </w:r>
            <w:r>
              <w:rPr>
                <w:rFonts w:hint="eastAsia" w:eastAsia="宋体" w:cs="宋体"/>
                <w:b w:val="0"/>
                <w:bCs/>
                <w:color w:val="333333"/>
                <w:sz w:val="24"/>
                <w:szCs w:val="24"/>
                <w:highlight w:val="none"/>
                <w:shd w:val="clear" w:color="auto" w:fill="FFFFFF"/>
                <w:lang w:eastAsia="zh-CN" w:bidi="ar"/>
              </w:rPr>
              <w:t>考核合格</w:t>
            </w:r>
            <w:r>
              <w:rPr>
                <w:rFonts w:hint="eastAsia" w:cs="宋体"/>
                <w:b w:val="0"/>
                <w:bCs/>
                <w:color w:val="333333"/>
                <w:sz w:val="24"/>
                <w:szCs w:val="24"/>
                <w:highlight w:val="none"/>
                <w:shd w:val="clear" w:color="auto" w:fill="FFFFFF"/>
                <w:lang w:val="en-US" w:eastAsia="zh-CN" w:bidi="ar"/>
              </w:rPr>
              <w:t>后</w:t>
            </w:r>
            <w:r>
              <w:rPr>
                <w:rFonts w:hint="eastAsia" w:eastAsia="宋体" w:cs="宋体"/>
                <w:b w:val="0"/>
                <w:bCs/>
                <w:color w:val="333333"/>
                <w:sz w:val="24"/>
                <w:szCs w:val="24"/>
                <w:highlight w:val="none"/>
                <w:shd w:val="clear" w:color="auto" w:fill="FFFFFF"/>
                <w:lang w:eastAsia="zh-CN" w:bidi="ar"/>
              </w:rPr>
              <w:t>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szCs w:val="24"/>
                <w:highlight w:val="none"/>
              </w:rPr>
            </w:pPr>
            <w:r>
              <w:rPr>
                <w:rFonts w:hint="eastAsia" w:ascii="宋体" w:hAnsi="宋体"/>
                <w:bCs/>
                <w:kern w:val="2"/>
                <w:szCs w:val="24"/>
                <w:highlight w:val="none"/>
              </w:rPr>
              <w:t>中标服务费</w:t>
            </w:r>
          </w:p>
        </w:tc>
        <w:tc>
          <w:tcPr>
            <w:tcW w:w="7308" w:type="dxa"/>
            <w:vAlign w:val="center"/>
          </w:tcPr>
          <w:p w14:paraId="7A45064B">
            <w:pPr>
              <w:pStyle w:val="86"/>
              <w:pBdr>
                <w:bottom w:val="none" w:color="auto" w:sz="0" w:space="0"/>
              </w:pBdr>
              <w:tabs>
                <w:tab w:val="clear" w:pos="4153"/>
                <w:tab w:val="clear" w:pos="8306"/>
              </w:tabs>
              <w:adjustRightInd/>
              <w:spacing w:line="440" w:lineRule="exact"/>
              <w:jc w:val="left"/>
              <w:textAlignment w:val="auto"/>
              <w:rPr>
                <w:rFonts w:hint="eastAsia" w:eastAsia="宋体"/>
                <w:bCs/>
                <w:szCs w:val="24"/>
                <w:highlight w:val="none"/>
                <w:lang w:val="en-US" w:eastAsia="zh-CN"/>
              </w:rPr>
            </w:pPr>
            <w:r>
              <w:rPr>
                <w:rFonts w:hint="eastAsia" w:eastAsia="宋体"/>
                <w:bCs/>
                <w:szCs w:val="24"/>
                <w:highlight w:val="none"/>
                <w:lang w:val="en-US" w:eastAsia="zh-CN"/>
              </w:rPr>
              <w:t>根据国家发展改革委《关于进一步放开建设项目专业服务价格的通知》（发改价格〔2015〕299号）文件精神，代理服务费收费标准参照发改价格【2011】534号文件执行，招标代理服务费由中标人（成交人）支付，服务费为成交价格的1.5%，不足3000元按3000元计取。</w:t>
            </w:r>
          </w:p>
          <w:p w14:paraId="2E05FD95">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服务费缴纳账户：</w:t>
            </w:r>
          </w:p>
          <w:p w14:paraId="61B199E9">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户名：安徽大别山工程咨询有限公司</w:t>
            </w:r>
          </w:p>
          <w:p w14:paraId="4BC52B8C">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开户行：安徽霍山农村商业银行股份有限公司营业部</w:t>
            </w:r>
          </w:p>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szCs w:val="24"/>
                <w:highlight w:val="none"/>
                <w:lang w:val="en-US" w:eastAsia="zh-CN"/>
              </w:rPr>
            </w:pPr>
            <w:r>
              <w:rPr>
                <w:rFonts w:hint="eastAsia" w:eastAsia="宋体"/>
                <w:b/>
                <w:bCs w:val="0"/>
                <w:szCs w:val="24"/>
                <w:highlight w:val="none"/>
                <w:lang w:val="en-US" w:eastAsia="zh-CN"/>
              </w:rPr>
              <w:t>账号：20010048352066600000012</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履约保证金</w:t>
            </w:r>
          </w:p>
        </w:tc>
        <w:tc>
          <w:tcPr>
            <w:tcW w:w="7308" w:type="dxa"/>
            <w:vAlign w:val="center"/>
          </w:tcPr>
          <w:p w14:paraId="02E24808">
            <w:pPr>
              <w:pStyle w:val="32"/>
              <w:ind w:firstLine="0"/>
              <w:jc w:val="center"/>
              <w:rPr>
                <w:rFonts w:hint="eastAsia" w:eastAsia="宋体"/>
                <w:highlight w:val="none"/>
                <w:lang w:eastAsia="zh-CN"/>
              </w:rPr>
            </w:pPr>
            <w:r>
              <w:rPr>
                <w:rFonts w:hint="eastAsia" w:ascii="宋体" w:hAnsi="宋体" w:cs="宋体"/>
                <w:bCs/>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kern w:val="2"/>
                <w:szCs w:val="24"/>
                <w:highlight w:val="none"/>
              </w:rPr>
            </w:pPr>
            <w:r>
              <w:rPr>
                <w:rFonts w:hint="eastAsia" w:ascii="宋体" w:hAnsi="宋体" w:cs="宋体"/>
                <w:bCs/>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000000" w:themeColor="text1"/>
                <w:kern w:val="2"/>
                <w:szCs w:val="24"/>
                <w:highlight w:val="none"/>
                <w14:textFill>
                  <w14:solidFill>
                    <w14:schemeClr w14:val="tx1"/>
                  </w14:solidFill>
                </w14:textFill>
              </w:rPr>
            </w:pPr>
            <w:r>
              <w:rPr>
                <w:rFonts w:hint="eastAsia" w:ascii="宋体" w:hAnsi="宋体"/>
                <w:bCs/>
                <w:color w:val="000000" w:themeColor="text1"/>
                <w:kern w:val="2"/>
                <w:szCs w:val="24"/>
                <w:highlight w:val="none"/>
                <w14:textFill>
                  <w14:solidFill>
                    <w14:schemeClr w14:val="tx1"/>
                  </w14:solidFill>
                </w14:textFill>
              </w:rPr>
              <w:t>1、供应商若对采购文件有关内容存在理解障碍，或认为采购文件表述有模糊不清之处，可通过</w:t>
            </w:r>
            <w:r>
              <w:rPr>
                <w:rFonts w:hint="eastAsia" w:ascii="宋体" w:hAnsi="宋体"/>
                <w:bCs/>
                <w:color w:val="000000" w:themeColor="text1"/>
                <w:kern w:val="2"/>
                <w:szCs w:val="24"/>
                <w:highlight w:val="none"/>
                <w:lang w:val="en-US" w:eastAsia="zh-CN"/>
                <w14:textFill>
                  <w14:solidFill>
                    <w14:schemeClr w14:val="tx1"/>
                  </w14:solidFill>
                </w14:textFill>
              </w:rPr>
              <w:t>电话联系方式向</w:t>
            </w:r>
            <w:r>
              <w:rPr>
                <w:rFonts w:hint="eastAsia" w:ascii="宋体" w:hAnsi="宋体"/>
                <w:bCs/>
                <w:color w:val="000000" w:themeColor="text1"/>
                <w:kern w:val="2"/>
                <w:szCs w:val="24"/>
                <w:highlight w:val="none"/>
                <w14:textFill>
                  <w14:solidFill>
                    <w14:schemeClr w14:val="tx1"/>
                  </w14:solidFill>
                </w14:textFill>
              </w:rPr>
              <w:t>采购人（采购代理机构）提出，采购人（采购代理机构）收到供应商提问后将及时回复。该渠道仅接受关于项目的一般性疑问</w:t>
            </w:r>
            <w:r>
              <w:rPr>
                <w:rFonts w:hint="eastAsia" w:ascii="宋体" w:hAnsi="宋体"/>
                <w:b/>
                <w:color w:val="000000" w:themeColor="text1"/>
                <w:kern w:val="2"/>
                <w:szCs w:val="24"/>
                <w:highlight w:val="none"/>
                <w14:textFill>
                  <w14:solidFill>
                    <w14:schemeClr w14:val="tx1"/>
                  </w14:solidFill>
                </w14:textFill>
              </w:rPr>
              <w:t>（非质疑）</w:t>
            </w:r>
            <w:r>
              <w:rPr>
                <w:rFonts w:hint="eastAsia" w:ascii="宋体" w:hAnsi="宋体"/>
                <w:bCs/>
                <w:color w:val="000000" w:themeColor="text1"/>
                <w:kern w:val="2"/>
                <w:szCs w:val="24"/>
                <w:highlight w:val="none"/>
                <w14:textFill>
                  <w14:solidFill>
                    <w14:schemeClr w14:val="tx1"/>
                  </w14:solidFill>
                </w14:textFill>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1、供应商若对采购文件有关内容存在质疑，可通过</w:t>
            </w:r>
            <w:r>
              <w:rPr>
                <w:rFonts w:hint="eastAsia" w:ascii="宋体" w:hAnsi="宋体"/>
                <w:bCs/>
                <w:kern w:val="2"/>
                <w:szCs w:val="24"/>
                <w:highlight w:val="none"/>
                <w:lang w:val="en-US" w:eastAsia="zh-CN"/>
              </w:rPr>
              <w:t>电子邮箱858874473@qq.com</w:t>
            </w:r>
            <w:r>
              <w:rPr>
                <w:rFonts w:hint="eastAsia" w:ascii="宋体" w:hAnsi="宋体"/>
                <w:bCs/>
                <w:kern w:val="2"/>
                <w:szCs w:val="24"/>
                <w:highlight w:val="none"/>
              </w:rPr>
              <w:t>向采购人（采购代理机构）提出。质疑文件不可匿名，须以附件形式加盖质疑人</w:t>
            </w:r>
            <w:r>
              <w:rPr>
                <w:rFonts w:hint="eastAsia" w:ascii="宋体" w:hAnsi="宋体"/>
                <w:bCs/>
                <w:kern w:val="2"/>
                <w:szCs w:val="24"/>
                <w:highlight w:val="none"/>
                <w:lang w:val="en-US" w:eastAsia="zh-CN"/>
              </w:rPr>
              <w:t>公</w:t>
            </w:r>
            <w:r>
              <w:rPr>
                <w:rFonts w:hint="eastAsia" w:ascii="宋体" w:hAnsi="宋体"/>
                <w:bCs/>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lang w:val="en-US" w:eastAsia="zh-CN"/>
              </w:rPr>
              <w:t>2</w:t>
            </w:r>
            <w:r>
              <w:rPr>
                <w:rFonts w:hint="eastAsia" w:ascii="宋体" w:hAnsi="宋体"/>
                <w:bCs/>
                <w:kern w:val="2"/>
                <w:szCs w:val="24"/>
                <w:highlight w:val="none"/>
              </w:rPr>
              <w:t>、请各潜在供应商在响应截止时间前，务必登录“</w:t>
            </w:r>
            <w:r>
              <w:rPr>
                <w:rFonts w:hint="eastAsia" w:ascii="宋体" w:hAnsi="宋体"/>
                <w:bCs/>
                <w:kern w:val="2"/>
                <w:szCs w:val="24"/>
                <w:highlight w:val="none"/>
                <w:lang w:val="en-US" w:eastAsia="zh-CN"/>
              </w:rPr>
              <w:t>安徽霍山国有资产投资控股集团有限公司</w:t>
            </w:r>
            <w:r>
              <w:rPr>
                <w:rFonts w:hint="eastAsia" w:ascii="宋体" w:hAnsi="宋体"/>
                <w:bCs/>
                <w:kern w:val="2"/>
                <w:szCs w:val="24"/>
                <w:highlight w:val="none"/>
              </w:rPr>
              <w:t>http://www.ahdmig.cn/</w:t>
            </w:r>
            <w:r>
              <w:rPr>
                <w:rFonts w:hint="eastAsia" w:ascii="宋体" w:hAnsi="宋体"/>
                <w:bCs/>
                <w:kern w:val="2"/>
                <w:szCs w:val="24"/>
                <w:highlight w:val="none"/>
                <w:lang w:eastAsia="zh-CN"/>
              </w:rPr>
              <w:t>”</w:t>
            </w:r>
            <w:r>
              <w:rPr>
                <w:rFonts w:hint="eastAsia" w:ascii="宋体" w:hAnsi="宋体"/>
                <w:bCs/>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kern w:val="2"/>
                      <w:szCs w:val="24"/>
                      <w:highlight w:val="none"/>
                    </w:rPr>
                  </w:pPr>
                  <w:r>
                    <w:rPr>
                      <w:rFonts w:hint="eastAsia" w:ascii="宋体" w:hAnsi="宋体"/>
                      <w:bCs/>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（2）供应商被市场监督管理部门列入</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kern w:val="2"/>
                <w:sz w:val="24"/>
                <w:szCs w:val="24"/>
                <w:highlight w:val="none"/>
                <w:lang w:val="zh-CN" w:eastAsia="zh-CN" w:bidi="ar-SA"/>
              </w:rPr>
            </w:pPr>
            <w:r>
              <w:rPr>
                <w:rFonts w:hint="eastAsia" w:ascii="Times New Roman" w:hAnsi="Times New Roman"/>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sz w:val="24"/>
                <w:szCs w:val="24"/>
                <w:highlight w:val="none"/>
              </w:rPr>
              <w:t xml:space="preserve">纸质 </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1" w:name="_Toc14333"/>
      <w:r>
        <w:rPr>
          <w:rFonts w:hint="eastAsia" w:ascii="宋体" w:hAnsi="宋体" w:eastAsia="宋体" w:cs="宋体"/>
          <w:sz w:val="24"/>
          <w:szCs w:val="24"/>
          <w:highlight w:val="none"/>
        </w:rPr>
        <w:t>（二）供应商资格</w:t>
      </w:r>
      <w:bookmarkEnd w:id="61"/>
    </w:p>
    <w:bookmarkEnd w:id="58"/>
    <w:p w14:paraId="021CE02C">
      <w:pPr>
        <w:pStyle w:val="32"/>
        <w:spacing w:line="520" w:lineRule="exact"/>
        <w:ind w:firstLine="480" w:firstLineChars="200"/>
        <w:rPr>
          <w:highlight w:val="none"/>
        </w:rPr>
      </w:pPr>
      <w:bookmarkStart w:id="62" w:name="_Toc216158625"/>
      <w:bookmarkStart w:id="63" w:name="_Toc438648662"/>
      <w:bookmarkStart w:id="64" w:name="_Toc363199266"/>
      <w:r>
        <w:rPr>
          <w:rFonts w:hint="eastAsia"/>
          <w:highlight w:val="none"/>
        </w:rPr>
        <w:t>见本项目采购公告</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65" w:name="_Toc9435"/>
      <w:r>
        <w:rPr>
          <w:rFonts w:hint="eastAsia" w:ascii="宋体" w:hAnsi="宋体" w:eastAsia="宋体" w:cs="宋体"/>
          <w:sz w:val="24"/>
          <w:szCs w:val="24"/>
          <w:highlight w:val="none"/>
        </w:rPr>
        <w:t>（三）供应商必须提交的响应文件内容</w:t>
      </w:r>
      <w:bookmarkEnd w:id="62"/>
      <w:bookmarkEnd w:id="63"/>
      <w:bookmarkEnd w:id="64"/>
      <w:bookmarkEnd w:id="65"/>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 xml:space="preserve">8、磋商文件要求和供应商认为需要提供的其它说明和资料。 </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66" w:name="_Toc9883"/>
      <w:r>
        <w:rPr>
          <w:rFonts w:hint="eastAsia" w:ascii="宋体" w:hAnsi="宋体" w:eastAsia="宋体" w:cs="宋体"/>
          <w:sz w:val="24"/>
          <w:szCs w:val="24"/>
          <w:highlight w:val="none"/>
        </w:rPr>
        <w:t>（四）响应文件的提交</w:t>
      </w:r>
      <w:bookmarkEnd w:id="66"/>
    </w:p>
    <w:bookmarkEnd w:id="59"/>
    <w:bookmarkEnd w:id="60"/>
    <w:p w14:paraId="2F91C0BF">
      <w:pPr>
        <w:pStyle w:val="15"/>
        <w:spacing w:line="500" w:lineRule="exact"/>
        <w:ind w:firstLine="482" w:firstLineChars="200"/>
        <w:rPr>
          <w:rFonts w:hAnsi="宋体"/>
          <w:b/>
          <w:sz w:val="24"/>
          <w:szCs w:val="24"/>
          <w:highlight w:val="none"/>
        </w:rPr>
      </w:pPr>
      <w:bookmarkStart w:id="67" w:name="_Toc32682"/>
      <w:bookmarkStart w:id="68" w:name="_Toc15950"/>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67"/>
      <w:bookmarkEnd w:id="68"/>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pStyle w:val="3"/>
        <w:spacing w:before="0" w:after="0" w:line="520" w:lineRule="exact"/>
        <w:ind w:firstLine="480" w:firstLineChars="200"/>
        <w:jc w:val="both"/>
        <w:rPr>
          <w:rFonts w:ascii="宋体" w:hAnsi="宋体" w:eastAsia="宋体" w:cs="宋体"/>
          <w:b w:val="0"/>
          <w:bCs/>
          <w:sz w:val="24"/>
          <w:szCs w:val="24"/>
          <w:highlight w:val="none"/>
        </w:rPr>
      </w:pPr>
      <w:bookmarkStart w:id="69" w:name="_Toc6912"/>
      <w:bookmarkStart w:id="70" w:name="_Toc8817"/>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69"/>
      <w:bookmarkEnd w:id="70"/>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1" w:name="_Toc7501"/>
      <w:bookmarkStart w:id="72" w:name="_Toc11542"/>
      <w:r>
        <w:rPr>
          <w:rFonts w:hint="eastAsia" w:ascii="宋体" w:hAnsi="宋体" w:eastAsia="宋体" w:cs="宋体"/>
          <w:sz w:val="24"/>
          <w:szCs w:val="24"/>
          <w:highlight w:val="none"/>
        </w:rPr>
        <w:t>（六）评审及异常情况处理</w:t>
      </w:r>
      <w:bookmarkEnd w:id="71"/>
      <w:bookmarkEnd w:id="72"/>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w:t>
      </w:r>
      <w:r>
        <w:rPr>
          <w:rFonts w:hint="eastAsia" w:ascii="宋体" w:hAnsi="宋体" w:cs="宋体"/>
          <w:sz w:val="24"/>
          <w:szCs w:val="24"/>
          <w:highlight w:val="none"/>
          <w:lang w:val="en-US" w:eastAsia="zh-CN"/>
        </w:rPr>
        <w:t>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73" w:name="_Toc30632"/>
      <w:r>
        <w:rPr>
          <w:rFonts w:hint="eastAsia" w:ascii="宋体" w:hAnsi="宋体" w:eastAsia="宋体" w:cs="宋体"/>
          <w:sz w:val="24"/>
          <w:szCs w:val="24"/>
          <w:highlight w:val="none"/>
        </w:rPr>
        <w:t>（七）报价响应及答疑</w:t>
      </w:r>
      <w:bookmarkEnd w:id="73"/>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74"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74"/>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2"/>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2"/>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2"/>
        <w:spacing w:after="0" w:line="520" w:lineRule="exact"/>
        <w:ind w:firstLine="480" w:firstLineChars="200"/>
        <w:rPr>
          <w:highlight w:val="none"/>
        </w:rPr>
      </w:pPr>
      <w:r>
        <w:rPr>
          <w:rFonts w:hint="eastAsia"/>
          <w:highlight w:val="none"/>
        </w:rPr>
        <w:t>（2）《中华人民共和国政府采购法》</w:t>
      </w:r>
    </w:p>
    <w:p w14:paraId="241E5143">
      <w:pPr>
        <w:pStyle w:val="32"/>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2"/>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2"/>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2"/>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75" w:name="_Toc1832"/>
      <w:r>
        <w:rPr>
          <w:rFonts w:hint="eastAsia" w:ascii="宋体" w:hAnsi="宋体" w:eastAsia="宋体" w:cs="宋体"/>
          <w:sz w:val="24"/>
          <w:szCs w:val="24"/>
          <w:highlight w:val="none"/>
        </w:rPr>
        <w:t>（九）澄清及变更</w:t>
      </w:r>
      <w:bookmarkEnd w:id="75"/>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76" w:name="_Toc18928"/>
      <w:r>
        <w:rPr>
          <w:rFonts w:hint="eastAsia" w:ascii="宋体" w:hAnsi="宋体" w:eastAsia="宋体" w:cs="宋体"/>
          <w:sz w:val="24"/>
          <w:szCs w:val="24"/>
          <w:highlight w:val="none"/>
        </w:rPr>
        <w:t>（十）验收</w:t>
      </w:r>
      <w:bookmarkEnd w:id="76"/>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2"/>
        <w:rPr>
          <w:rFonts w:ascii="宋体" w:hAnsi="宋体"/>
          <w:szCs w:val="24"/>
          <w:highlight w:val="none"/>
        </w:rPr>
      </w:pPr>
      <w:r>
        <w:rPr>
          <w:rFonts w:hint="eastAsia" w:ascii="宋体" w:hAnsi="宋体" w:eastAsia="宋体" w:cs="Times New Roman"/>
          <w:kern w:val="2"/>
          <w:sz w:val="24"/>
          <w:szCs w:val="24"/>
          <w:highlight w:val="none"/>
          <w:lang w:val="en-US" w:eastAsia="zh-CN" w:bidi="ar-SA"/>
        </w:rPr>
        <w:t>4</w:t>
      </w:r>
      <w:r>
        <w:rPr>
          <w:rFonts w:hint="eastAsia"/>
          <w:highlight w:val="none"/>
        </w:rPr>
        <w:t>、对于符合支付条件的项目，应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77" w:name="_Toc3680"/>
      <w:r>
        <w:rPr>
          <w:rFonts w:hint="eastAsia" w:ascii="宋体" w:hAnsi="宋体" w:eastAsia="宋体" w:cs="宋体"/>
          <w:sz w:val="24"/>
          <w:szCs w:val="24"/>
          <w:highlight w:val="none"/>
        </w:rPr>
        <w:t>（十一）质疑</w:t>
      </w:r>
      <w:bookmarkEnd w:id="77"/>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 xml:space="preserve">2、质疑应在规定时限内提出： </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霍山县教育局</w:t>
      </w:r>
      <w:r>
        <w:rPr>
          <w:rFonts w:hint="eastAsia" w:ascii="宋体" w:hAnsi="宋体"/>
          <w:bCs/>
          <w:sz w:val="24"/>
          <w:highlight w:val="none"/>
        </w:rPr>
        <w:t>提起投诉。</w:t>
      </w:r>
    </w:p>
    <w:p w14:paraId="5FBBE73F">
      <w:pPr>
        <w:spacing w:line="520" w:lineRule="exact"/>
        <w:ind w:firstLine="480" w:firstLineChars="200"/>
        <w:rPr>
          <w:rFonts w:ascii="宋体" w:hAnsi="宋体"/>
          <w:bCs/>
          <w:sz w:val="24"/>
          <w:highlight w:val="none"/>
        </w:rPr>
      </w:pPr>
      <w:r>
        <w:rPr>
          <w:rFonts w:hint="eastAsia" w:ascii="宋体" w:hAnsi="宋体"/>
          <w:bCs/>
          <w:sz w:val="24"/>
          <w:highlight w:val="none"/>
        </w:rPr>
        <w:t>质疑人应在答复期满后十五个工作日内提起投诉。</w:t>
      </w:r>
    </w:p>
    <w:p w14:paraId="3D7AD3C0">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bCs/>
          <w:sz w:val="24"/>
          <w:highlight w:val="none"/>
        </w:rPr>
        <w:t>7、</w:t>
      </w:r>
      <w:bookmarkStart w:id="78" w:name="_Toc216158630"/>
      <w:r>
        <w:rPr>
          <w:rFonts w:hint="eastAsia" w:ascii="宋体" w:hAnsi="宋体" w:eastAsia="宋体" w:cs="Times New Roman"/>
          <w:bCs/>
          <w:kern w:val="2"/>
          <w:sz w:val="24"/>
          <w:szCs w:val="24"/>
          <w:highlight w:val="none"/>
          <w:lang w:val="en-US" w:eastAsia="zh-CN" w:bidi="ar-SA"/>
        </w:rPr>
        <w:t>投诉人在全国范围12个月内三次以上投诉查无实据的，由</w:t>
      </w:r>
      <w:r>
        <w:rPr>
          <w:rFonts w:hint="eastAsia" w:ascii="宋体" w:hAnsi="宋体" w:cs="Times New Roman"/>
          <w:bCs/>
          <w:kern w:val="2"/>
          <w:sz w:val="24"/>
          <w:szCs w:val="24"/>
          <w:highlight w:val="none"/>
          <w:lang w:val="en-US" w:eastAsia="zh-CN" w:bidi="ar-SA"/>
        </w:rPr>
        <w:t>行政主管部门</w:t>
      </w:r>
      <w:r>
        <w:rPr>
          <w:rFonts w:hint="eastAsia" w:ascii="宋体" w:hAnsi="宋体" w:eastAsia="宋体" w:cs="Times New Roman"/>
          <w:bCs/>
          <w:kern w:val="2"/>
          <w:sz w:val="24"/>
          <w:szCs w:val="24"/>
          <w:highlight w:val="none"/>
          <w:lang w:val="en-US" w:eastAsia="zh-CN" w:bidi="ar-SA"/>
        </w:rPr>
        <w:t>列入不良行为记录名单。</w:t>
      </w:r>
    </w:p>
    <w:p w14:paraId="6178382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投诉人有下列行为之一的，属于虚假、恶意投诉，由财政部门列入不良行为记录名单，禁止其1至3年内参加政府采购活动：</w:t>
      </w:r>
    </w:p>
    <w:p w14:paraId="407330A1">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（一）捏造事实;</w:t>
      </w:r>
    </w:p>
    <w:p w14:paraId="0AA063A7">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（二）提供虚假材料;</w:t>
      </w:r>
    </w:p>
    <w:p w14:paraId="5A90753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bCs/>
          <w:sz w:val="24"/>
          <w:szCs w:val="24"/>
          <w:highlight w:val="none"/>
        </w:rPr>
      </w:pPr>
      <w:r>
        <w:rPr>
          <w:rFonts w:hint="eastAsia" w:ascii="宋体" w:hAnsi="宋体" w:eastAsia="宋体" w:cs="Times New Roman"/>
          <w:bCs/>
          <w:kern w:val="2"/>
          <w:sz w:val="24"/>
          <w:szCs w:val="24"/>
          <w:highlight w:val="none"/>
          <w:lang w:val="en-US" w:eastAsia="zh-CN" w:bidi="ar-SA"/>
        </w:rPr>
        <w:t>（三）以非法手段取得证明材料。证据来源的合法性存在明显疑问，投诉人无法证明其取得方式合法的，视为以非法手段取得证明材料。</w:t>
      </w:r>
    </w:p>
    <w:p w14:paraId="1E1F702F">
      <w:pPr>
        <w:spacing w:line="520" w:lineRule="exact"/>
        <w:ind w:firstLine="560" w:firstLineChars="200"/>
        <w:rPr>
          <w:rFonts w:ascii="宋体" w:hAnsi="宋体" w:cs="宋体"/>
          <w:sz w:val="28"/>
          <w:szCs w:val="28"/>
          <w:highlight w:val="none"/>
        </w:rPr>
      </w:pPr>
    </w:p>
    <w:p w14:paraId="5ED131EB">
      <w:pPr>
        <w:rPr>
          <w:rFonts w:hint="eastAsia" w:ascii="宋体" w:hAnsi="宋体" w:eastAsia="宋体" w:cs="宋体"/>
          <w:sz w:val="28"/>
          <w:szCs w:val="28"/>
          <w:highlight w:val="none"/>
        </w:rPr>
      </w:pPr>
      <w:bookmarkStart w:id="79" w:name="_Toc22378"/>
      <w:r>
        <w:rPr>
          <w:rFonts w:hint="eastAsia" w:ascii="宋体" w:hAnsi="宋体" w:eastAsia="宋体" w:cs="宋体"/>
          <w:sz w:val="28"/>
          <w:szCs w:val="28"/>
          <w:highlight w:val="none"/>
        </w:rPr>
        <w:br w:type="page"/>
      </w:r>
    </w:p>
    <w:p w14:paraId="67A0B53C">
      <w:pPr>
        <w:pStyle w:val="3"/>
        <w:spacing w:before="0" w:after="0" w:line="560" w:lineRule="exact"/>
        <w:jc w:val="center"/>
        <w:rPr>
          <w:rFonts w:ascii="宋体" w:hAnsi="宋体" w:eastAsia="宋体" w:cs="宋体"/>
          <w:sz w:val="28"/>
          <w:szCs w:val="28"/>
          <w:highlight w:val="none"/>
        </w:rPr>
      </w:pPr>
      <w:r>
        <w:rPr>
          <w:rFonts w:hint="eastAsia" w:ascii="宋体" w:hAnsi="宋体" w:eastAsia="宋体" w:cs="宋体"/>
          <w:sz w:val="28"/>
          <w:szCs w:val="28"/>
          <w:highlight w:val="none"/>
        </w:rPr>
        <w:t>二、采购合同</w:t>
      </w:r>
      <w:bookmarkEnd w:id="79"/>
    </w:p>
    <w:bookmarkEnd w:id="78"/>
    <w:p w14:paraId="44DC7D2E">
      <w:pPr>
        <w:spacing w:line="253" w:lineRule="auto"/>
        <w:rPr>
          <w:highlight w:val="none"/>
        </w:rPr>
      </w:pPr>
      <w:bookmarkStart w:id="80" w:name="_Toc363199273"/>
    </w:p>
    <w:p w14:paraId="494E05CF">
      <w:pPr>
        <w:spacing w:line="253" w:lineRule="auto"/>
        <w:rPr>
          <w:highlight w:val="none"/>
        </w:rPr>
      </w:pPr>
    </w:p>
    <w:p w14:paraId="31617175">
      <w:pPr>
        <w:spacing w:line="254" w:lineRule="auto"/>
        <w:rPr>
          <w:highlight w:val="none"/>
        </w:rPr>
      </w:pPr>
    </w:p>
    <w:p w14:paraId="2DB93755">
      <w:pPr>
        <w:spacing w:line="254" w:lineRule="auto"/>
        <w:rPr>
          <w:highlight w:val="none"/>
        </w:rPr>
      </w:pPr>
    </w:p>
    <w:p w14:paraId="105D8D5C">
      <w:pPr>
        <w:spacing w:line="254" w:lineRule="auto"/>
        <w:rPr>
          <w:highlight w:val="none"/>
        </w:rPr>
      </w:pPr>
    </w:p>
    <w:p w14:paraId="02C51971">
      <w:pPr>
        <w:spacing w:before="101" w:line="224" w:lineRule="auto"/>
        <w:ind w:firstLine="3300" w:firstLineChars="1000"/>
        <w:jc w:val="both"/>
        <w:rPr>
          <w:rFonts w:ascii="宋体" w:hAnsi="宋体" w:cs="宋体"/>
          <w:sz w:val="31"/>
          <w:szCs w:val="31"/>
          <w:highlight w:val="none"/>
        </w:rPr>
      </w:pPr>
      <w:r>
        <w:rPr>
          <w:rFonts w:ascii="宋体" w:hAnsi="宋体" w:cs="宋体"/>
          <w:spacing w:val="10"/>
          <w:sz w:val="31"/>
          <w:szCs w:val="31"/>
          <w:highlight w:val="none"/>
        </w:rPr>
        <w:t>合同参考范本</w:t>
      </w:r>
    </w:p>
    <w:p w14:paraId="11E9122E">
      <w:pPr>
        <w:spacing w:before="247" w:line="225" w:lineRule="auto"/>
        <w:ind w:left="3405"/>
        <w:rPr>
          <w:rFonts w:ascii="宋体" w:hAnsi="宋体" w:cs="宋体"/>
          <w:sz w:val="31"/>
          <w:szCs w:val="31"/>
          <w:highlight w:val="none"/>
        </w:rPr>
      </w:pPr>
      <w:r>
        <w:rPr>
          <w:rFonts w:ascii="宋体" w:hAnsi="宋体" w:cs="宋体"/>
          <w:spacing w:val="32"/>
          <w:sz w:val="31"/>
          <w:szCs w:val="31"/>
          <w:highlight w:val="none"/>
        </w:rPr>
        <w:t>(服务类</w:t>
      </w:r>
      <w:r>
        <w:rPr>
          <w:rFonts w:ascii="宋体" w:hAnsi="宋体" w:cs="宋体"/>
          <w:spacing w:val="31"/>
          <w:sz w:val="31"/>
          <w:szCs w:val="31"/>
          <w:highlight w:val="none"/>
        </w:rPr>
        <w:t>)</w:t>
      </w:r>
    </w:p>
    <w:p w14:paraId="554EA5A0">
      <w:pPr>
        <w:spacing w:line="248" w:lineRule="auto"/>
        <w:rPr>
          <w:highlight w:val="none"/>
        </w:rPr>
      </w:pPr>
    </w:p>
    <w:p w14:paraId="2F86F034">
      <w:pPr>
        <w:spacing w:line="248" w:lineRule="auto"/>
        <w:rPr>
          <w:highlight w:val="none"/>
        </w:rPr>
      </w:pPr>
    </w:p>
    <w:p w14:paraId="7B78F6F3">
      <w:pPr>
        <w:spacing w:line="249" w:lineRule="auto"/>
        <w:rPr>
          <w:highlight w:val="none"/>
        </w:rPr>
      </w:pPr>
    </w:p>
    <w:p w14:paraId="6779E635">
      <w:pPr>
        <w:spacing w:line="249" w:lineRule="auto"/>
        <w:rPr>
          <w:highlight w:val="none"/>
        </w:rPr>
      </w:pPr>
    </w:p>
    <w:p w14:paraId="4E9260D6">
      <w:pPr>
        <w:spacing w:line="249" w:lineRule="auto"/>
        <w:rPr>
          <w:highlight w:val="none"/>
        </w:rPr>
      </w:pPr>
    </w:p>
    <w:p w14:paraId="6EDA6F75">
      <w:pPr>
        <w:spacing w:line="249" w:lineRule="auto"/>
        <w:rPr>
          <w:highlight w:val="none"/>
        </w:rPr>
      </w:pPr>
    </w:p>
    <w:p w14:paraId="3052D0D6">
      <w:pPr>
        <w:spacing w:line="249" w:lineRule="auto"/>
        <w:rPr>
          <w:highlight w:val="none"/>
        </w:rPr>
      </w:pPr>
    </w:p>
    <w:p w14:paraId="0683812F">
      <w:pPr>
        <w:spacing w:line="249" w:lineRule="auto"/>
        <w:rPr>
          <w:highlight w:val="none"/>
        </w:rPr>
      </w:pPr>
    </w:p>
    <w:p w14:paraId="6D5CA649">
      <w:pPr>
        <w:spacing w:before="78" w:line="219" w:lineRule="auto"/>
        <w:ind w:left="3288"/>
        <w:rPr>
          <w:rFonts w:ascii="宋体" w:hAnsi="宋体" w:cs="宋体"/>
          <w:sz w:val="24"/>
          <w:szCs w:val="24"/>
          <w:highlight w:val="none"/>
        </w:rPr>
      </w:pPr>
      <w:r>
        <w:rPr>
          <w:rFonts w:ascii="宋体" w:hAnsi="宋体" w:cs="宋体"/>
          <w:spacing w:val="-1"/>
          <w:sz w:val="24"/>
          <w:szCs w:val="24"/>
          <w:highlight w:val="none"/>
        </w:rPr>
        <w:t>第一部</w:t>
      </w:r>
      <w:r>
        <w:rPr>
          <w:rFonts w:ascii="宋体" w:hAnsi="宋体" w:cs="宋体"/>
          <w:sz w:val="24"/>
          <w:szCs w:val="24"/>
          <w:highlight w:val="none"/>
        </w:rPr>
        <w:t>分 合同书</w:t>
      </w:r>
    </w:p>
    <w:p w14:paraId="25A27400">
      <w:pPr>
        <w:rPr>
          <w:highlight w:val="none"/>
        </w:rPr>
      </w:pPr>
    </w:p>
    <w:p w14:paraId="441C6843">
      <w:pPr>
        <w:rPr>
          <w:highlight w:val="none"/>
        </w:rPr>
      </w:pPr>
    </w:p>
    <w:p w14:paraId="3092F196">
      <w:pPr>
        <w:rPr>
          <w:highlight w:val="none"/>
        </w:rPr>
      </w:pPr>
    </w:p>
    <w:p w14:paraId="78DBA168">
      <w:pPr>
        <w:rPr>
          <w:highlight w:val="none"/>
        </w:rPr>
      </w:pPr>
    </w:p>
    <w:p w14:paraId="0535E07E">
      <w:pPr>
        <w:rPr>
          <w:highlight w:val="none"/>
        </w:rPr>
      </w:pPr>
    </w:p>
    <w:p w14:paraId="0FFD20A5">
      <w:pPr>
        <w:rPr>
          <w:highlight w:val="none"/>
        </w:rPr>
      </w:pPr>
    </w:p>
    <w:p w14:paraId="75CB3274">
      <w:pPr>
        <w:spacing w:line="241" w:lineRule="auto"/>
        <w:rPr>
          <w:highlight w:val="none"/>
        </w:rPr>
      </w:pPr>
    </w:p>
    <w:p w14:paraId="13C459C7">
      <w:pPr>
        <w:spacing w:line="241" w:lineRule="auto"/>
        <w:rPr>
          <w:highlight w:val="none"/>
        </w:rPr>
      </w:pPr>
    </w:p>
    <w:p w14:paraId="2FC7AACD">
      <w:pPr>
        <w:spacing w:line="241" w:lineRule="auto"/>
        <w:rPr>
          <w:highlight w:val="none"/>
        </w:rPr>
      </w:pPr>
    </w:p>
    <w:p w14:paraId="4199EF4C">
      <w:pPr>
        <w:spacing w:before="78" w:line="220" w:lineRule="auto"/>
        <w:ind w:left="1001"/>
        <w:rPr>
          <w:rFonts w:ascii="宋体" w:hAnsi="宋体" w:cs="宋体"/>
          <w:sz w:val="24"/>
          <w:szCs w:val="24"/>
          <w:highlight w:val="none"/>
        </w:rPr>
      </w:pPr>
      <w:r>
        <w:rPr>
          <w:rFonts w:ascii="宋体" w:hAnsi="宋体" w:cs="宋体"/>
          <w:spacing w:val="-12"/>
          <w:sz w:val="24"/>
          <w:szCs w:val="24"/>
          <w:highlight w:val="none"/>
        </w:rPr>
        <w:t>项</w:t>
      </w:r>
      <w:r>
        <w:rPr>
          <w:rFonts w:ascii="宋体" w:hAnsi="宋体" w:cs="宋体"/>
          <w:spacing w:val="-6"/>
          <w:sz w:val="24"/>
          <w:szCs w:val="24"/>
          <w:highlight w:val="none"/>
        </w:rPr>
        <w:t xml:space="preserve">目名称： </w:t>
      </w:r>
      <w:r>
        <w:rPr>
          <w:rFonts w:hint="eastAsia" w:ascii="宋体" w:hAnsi="宋体" w:cs="宋体"/>
          <w:spacing w:val="-6"/>
          <w:sz w:val="24"/>
          <w:szCs w:val="24"/>
          <w:highlight w:val="none"/>
          <w:u w:val="single"/>
        </w:rPr>
        <w:t xml:space="preserve">                </w:t>
      </w:r>
    </w:p>
    <w:p w14:paraId="5FF24FFE">
      <w:pPr>
        <w:spacing w:line="378" w:lineRule="auto"/>
        <w:rPr>
          <w:highlight w:val="none"/>
        </w:rPr>
      </w:pPr>
    </w:p>
    <w:p w14:paraId="0BD7A3AF">
      <w:pPr>
        <w:spacing w:before="78" w:line="572" w:lineRule="auto"/>
        <w:ind w:left="1001"/>
        <w:rPr>
          <w:rFonts w:ascii="宋体" w:hAnsi="宋体" w:cs="宋体"/>
          <w:sz w:val="24"/>
          <w:szCs w:val="24"/>
          <w:highlight w:val="none"/>
        </w:rPr>
      </w:pPr>
      <w:r>
        <w:rPr>
          <w:rFonts w:ascii="宋体" w:hAnsi="宋体" w:cs="宋体"/>
          <w:spacing w:val="-12"/>
          <w:sz w:val="24"/>
          <w:szCs w:val="24"/>
          <w:highlight w:val="none"/>
        </w:rPr>
        <w:t>项目</w:t>
      </w:r>
      <w:r>
        <w:rPr>
          <w:rFonts w:ascii="宋体" w:hAnsi="宋体" w:cs="宋体"/>
          <w:spacing w:val="-6"/>
          <w:sz w:val="24"/>
          <w:szCs w:val="24"/>
          <w:highlight w:val="none"/>
        </w:rPr>
        <w:t xml:space="preserve">编号： </w:t>
      </w:r>
      <w:r>
        <w:rPr>
          <w:rFonts w:hint="eastAsia" w:ascii="宋体" w:hAnsi="宋体" w:cs="宋体"/>
          <w:spacing w:val="-6"/>
          <w:sz w:val="24"/>
          <w:szCs w:val="24"/>
          <w:highlight w:val="none"/>
          <w:u w:val="single"/>
        </w:rPr>
        <w:t xml:space="preserve">                </w:t>
      </w:r>
    </w:p>
    <w:p w14:paraId="40AA621A">
      <w:pPr>
        <w:spacing w:before="1" w:line="218" w:lineRule="auto"/>
        <w:ind w:left="1029"/>
        <w:rPr>
          <w:rFonts w:ascii="宋体" w:hAnsi="宋体" w:cs="宋体"/>
          <w:sz w:val="24"/>
          <w:szCs w:val="24"/>
          <w:highlight w:val="none"/>
        </w:rPr>
      </w:pPr>
      <w:r>
        <w:rPr>
          <w:rFonts w:ascii="宋体" w:hAnsi="宋体" w:cs="宋体"/>
          <w:spacing w:val="8"/>
          <w:sz w:val="24"/>
          <w:szCs w:val="24"/>
          <w:highlight w:val="none"/>
        </w:rPr>
        <w:t>甲方(采购人)</w:t>
      </w:r>
      <w:r>
        <w:rPr>
          <w:rFonts w:ascii="宋体" w:hAnsi="宋体" w:cs="宋体"/>
          <w:spacing w:val="7"/>
          <w:sz w:val="24"/>
          <w:szCs w:val="24"/>
          <w:highlight w:val="none"/>
        </w:rPr>
        <w:t>：</w:t>
      </w:r>
    </w:p>
    <w:p w14:paraId="584F9454">
      <w:pPr>
        <w:spacing w:line="378" w:lineRule="auto"/>
        <w:rPr>
          <w:highlight w:val="none"/>
        </w:rPr>
      </w:pPr>
    </w:p>
    <w:p w14:paraId="61623053">
      <w:pPr>
        <w:spacing w:before="79" w:line="219" w:lineRule="auto"/>
        <w:ind w:left="1021"/>
        <w:rPr>
          <w:rFonts w:ascii="宋体" w:hAnsi="宋体" w:cs="宋体"/>
          <w:sz w:val="24"/>
          <w:szCs w:val="24"/>
          <w:highlight w:val="none"/>
        </w:rPr>
      </w:pPr>
      <w:r>
        <w:rPr>
          <w:rFonts w:ascii="宋体" w:hAnsi="宋体" w:cs="宋体"/>
          <w:spacing w:val="8"/>
          <w:sz w:val="24"/>
          <w:szCs w:val="24"/>
          <w:highlight w:val="none"/>
        </w:rPr>
        <w:t>乙</w:t>
      </w:r>
      <w:r>
        <w:rPr>
          <w:rFonts w:ascii="宋体" w:hAnsi="宋体" w:cs="宋体"/>
          <w:spacing w:val="7"/>
          <w:sz w:val="24"/>
          <w:szCs w:val="24"/>
          <w:highlight w:val="none"/>
        </w:rPr>
        <w:t>方(成交供应商)：</w:t>
      </w:r>
    </w:p>
    <w:p w14:paraId="36EB20F1">
      <w:pPr>
        <w:spacing w:line="380" w:lineRule="auto"/>
        <w:rPr>
          <w:highlight w:val="none"/>
        </w:rPr>
      </w:pPr>
    </w:p>
    <w:p w14:paraId="4D3E5BE6">
      <w:pPr>
        <w:spacing w:before="79" w:line="222" w:lineRule="auto"/>
        <w:ind w:left="998"/>
        <w:rPr>
          <w:rFonts w:ascii="宋体" w:hAnsi="宋体" w:cs="宋体"/>
          <w:sz w:val="24"/>
          <w:szCs w:val="24"/>
          <w:highlight w:val="none"/>
        </w:rPr>
      </w:pPr>
      <w:r>
        <w:rPr>
          <w:rFonts w:ascii="宋体" w:hAnsi="宋体" w:cs="宋体"/>
          <w:spacing w:val="-13"/>
          <w:sz w:val="24"/>
          <w:szCs w:val="24"/>
          <w:highlight w:val="none"/>
        </w:rPr>
        <w:t>签</w:t>
      </w:r>
      <w:r>
        <w:rPr>
          <w:rFonts w:ascii="宋体" w:hAnsi="宋体" w:cs="宋体"/>
          <w:spacing w:val="-12"/>
          <w:sz w:val="24"/>
          <w:szCs w:val="24"/>
          <w:highlight w:val="none"/>
        </w:rPr>
        <w:t>订地：</w:t>
      </w:r>
    </w:p>
    <w:p w14:paraId="68651235">
      <w:pPr>
        <w:spacing w:line="373" w:lineRule="auto"/>
        <w:rPr>
          <w:highlight w:val="none"/>
        </w:rPr>
      </w:pPr>
    </w:p>
    <w:p w14:paraId="3B9DB15E">
      <w:pPr>
        <w:spacing w:before="79" w:line="220" w:lineRule="auto"/>
        <w:ind w:left="998"/>
        <w:rPr>
          <w:rFonts w:ascii="宋体" w:hAnsi="宋体" w:cs="宋体"/>
          <w:sz w:val="24"/>
          <w:szCs w:val="24"/>
          <w:highlight w:val="none"/>
        </w:rPr>
      </w:pPr>
      <w:r>
        <w:rPr>
          <w:rFonts w:ascii="宋体" w:hAnsi="宋体" w:cs="宋体"/>
          <w:spacing w:val="-2"/>
          <w:sz w:val="24"/>
          <w:szCs w:val="24"/>
          <w:highlight w:val="none"/>
        </w:rPr>
        <w:t>签</w:t>
      </w:r>
      <w:r>
        <w:rPr>
          <w:rFonts w:ascii="宋体" w:hAnsi="宋体" w:cs="宋体"/>
          <w:spacing w:val="-1"/>
          <w:sz w:val="24"/>
          <w:szCs w:val="24"/>
          <w:highlight w:val="none"/>
        </w:rPr>
        <w:t>订日期：</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年</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月</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日</w:t>
      </w:r>
    </w:p>
    <w:p w14:paraId="1D48E22E">
      <w:pPr>
        <w:rPr>
          <w:highlight w:val="none"/>
        </w:rPr>
        <w:sectPr>
          <w:footerReference r:id="rId3" w:type="default"/>
          <w:pgSz w:w="11907" w:h="16839"/>
          <w:pgMar w:top="1118" w:right="1769" w:bottom="1233" w:left="1771" w:header="877" w:footer="982" w:gutter="0"/>
          <w:pgNumType w:fmt="decimal"/>
          <w:cols w:space="720" w:num="1"/>
        </w:sectPr>
      </w:pPr>
    </w:p>
    <w:p w14:paraId="7E33A75B">
      <w:pPr>
        <w:spacing w:line="353" w:lineRule="auto"/>
        <w:rPr>
          <w:highlight w:val="none"/>
        </w:rPr>
      </w:pPr>
    </w:p>
    <w:p w14:paraId="5CEA2DEE">
      <w:pPr>
        <w:spacing w:before="78" w:line="353" w:lineRule="auto"/>
        <w:ind w:left="115" w:right="57" w:firstLine="345" w:firstLineChars="150"/>
        <w:rPr>
          <w:rFonts w:ascii="宋体" w:hAnsi="宋体" w:cs="宋体"/>
          <w:sz w:val="24"/>
          <w:szCs w:val="24"/>
          <w:highlight w:val="none"/>
        </w:rPr>
      </w:pPr>
      <w:r>
        <w:rPr>
          <w:rFonts w:hint="eastAsia" w:ascii="宋体" w:hAnsi="宋体" w:cs="宋体"/>
          <w:spacing w:val="-5"/>
          <w:sz w:val="24"/>
          <w:szCs w:val="24"/>
          <w:highlight w:val="none"/>
          <w:u w:val="single"/>
        </w:rPr>
        <w:t xml:space="preserve">             </w:t>
      </w:r>
      <w:r>
        <w:rPr>
          <w:rFonts w:ascii="宋体" w:hAnsi="宋体" w:cs="宋体"/>
          <w:spacing w:val="-5"/>
          <w:sz w:val="24"/>
          <w:szCs w:val="24"/>
          <w:highlight w:val="none"/>
        </w:rPr>
        <w:t>(以下简称： 甲方) 通过</w:t>
      </w:r>
      <w:r>
        <w:rPr>
          <w:rFonts w:hint="eastAsia" w:ascii="宋体" w:hAnsi="宋体" w:cs="宋体"/>
          <w:spacing w:val="-5"/>
          <w:sz w:val="24"/>
          <w:szCs w:val="24"/>
          <w:highlight w:val="none"/>
          <w:u w:val="single"/>
        </w:rPr>
        <w:t xml:space="preserve">              </w:t>
      </w:r>
      <w:r>
        <w:rPr>
          <w:rFonts w:ascii="宋体" w:hAnsi="宋体" w:cs="宋体"/>
          <w:spacing w:val="-8"/>
          <w:sz w:val="24"/>
          <w:szCs w:val="24"/>
          <w:highlight w:val="none"/>
        </w:rPr>
        <w:t>组织的</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方式采购活动， 经</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评定，</w:t>
      </w:r>
      <w:r>
        <w:rPr>
          <w:rFonts w:ascii="宋体" w:hAnsi="宋体" w:cs="宋体"/>
          <w:spacing w:val="-9"/>
          <w:sz w:val="24"/>
          <w:szCs w:val="24"/>
          <w:highlight w:val="none"/>
        </w:rPr>
        <w:t>(</w:t>
      </w:r>
      <w:r>
        <w:rPr>
          <w:rFonts w:ascii="宋体" w:hAnsi="宋体" w:cs="宋体"/>
          <w:spacing w:val="-9"/>
          <w:sz w:val="24"/>
          <w:szCs w:val="24"/>
          <w:highlight w:val="none"/>
          <w:u w:val="single"/>
        </w:rPr>
        <w:t>成交供应商名称)</w:t>
      </w:r>
      <w:r>
        <w:rPr>
          <w:rFonts w:ascii="宋体" w:hAnsi="宋体" w:cs="宋体"/>
          <w:spacing w:val="2"/>
          <w:sz w:val="25"/>
          <w:szCs w:val="25"/>
          <w:highlight w:val="none"/>
        </w:rPr>
        <w:t xml:space="preserve"> </w:t>
      </w:r>
      <w:r>
        <w:rPr>
          <w:rFonts w:ascii="宋体" w:hAnsi="宋体" w:cs="宋体"/>
          <w:spacing w:val="2"/>
          <w:sz w:val="24"/>
          <w:szCs w:val="24"/>
          <w:highlight w:val="none"/>
        </w:rPr>
        <w:t>(以下简称：乙方)为本项目成交供应商，现按照采购文件</w:t>
      </w:r>
      <w:r>
        <w:rPr>
          <w:rFonts w:ascii="宋体" w:hAnsi="宋体" w:cs="宋体"/>
          <w:sz w:val="24"/>
          <w:szCs w:val="24"/>
          <w:highlight w:val="none"/>
        </w:rPr>
        <w:t>确定</w:t>
      </w:r>
      <w:r>
        <w:rPr>
          <w:rFonts w:ascii="宋体" w:hAnsi="宋体" w:cs="宋体"/>
          <w:spacing w:val="-6"/>
          <w:sz w:val="24"/>
          <w:szCs w:val="24"/>
          <w:highlight w:val="none"/>
        </w:rPr>
        <w:t>的事</w:t>
      </w:r>
      <w:r>
        <w:rPr>
          <w:rFonts w:ascii="宋体" w:hAnsi="宋体" w:cs="宋体"/>
          <w:spacing w:val="-4"/>
          <w:sz w:val="24"/>
          <w:szCs w:val="24"/>
          <w:highlight w:val="none"/>
        </w:rPr>
        <w:t>项</w:t>
      </w:r>
      <w:r>
        <w:rPr>
          <w:rFonts w:ascii="宋体" w:hAnsi="宋体" w:cs="宋体"/>
          <w:spacing w:val="-3"/>
          <w:sz w:val="24"/>
          <w:szCs w:val="24"/>
          <w:highlight w:val="none"/>
        </w:rPr>
        <w:t>签订本合同。</w:t>
      </w:r>
    </w:p>
    <w:p w14:paraId="01FCAB82">
      <w:pPr>
        <w:spacing w:line="360" w:lineRule="auto"/>
        <w:ind w:left="123" w:right="116" w:firstLine="433"/>
        <w:rPr>
          <w:rFonts w:ascii="宋体" w:hAnsi="宋体" w:cs="宋体"/>
          <w:sz w:val="24"/>
          <w:szCs w:val="24"/>
          <w:highlight w:val="none"/>
        </w:rPr>
      </w:pPr>
      <w:r>
        <w:rPr>
          <w:rFonts w:ascii="宋体" w:hAnsi="宋体" w:cs="宋体"/>
          <w:spacing w:val="-9"/>
          <w:sz w:val="24"/>
          <w:szCs w:val="24"/>
          <w:highlight w:val="none"/>
        </w:rPr>
        <w:t>根据《中华人民共和国民法典》、《中华人民共和国政府采购法》等相关法</w:t>
      </w:r>
      <w:r>
        <w:rPr>
          <w:rFonts w:ascii="宋体" w:hAnsi="宋体" w:cs="宋体"/>
          <w:spacing w:val="-3"/>
          <w:sz w:val="24"/>
          <w:szCs w:val="24"/>
          <w:highlight w:val="none"/>
        </w:rPr>
        <w:t>律</w:t>
      </w:r>
      <w:r>
        <w:rPr>
          <w:rFonts w:ascii="宋体" w:hAnsi="宋体" w:cs="宋体"/>
          <w:spacing w:val="-17"/>
          <w:sz w:val="24"/>
          <w:szCs w:val="24"/>
          <w:highlight w:val="none"/>
        </w:rPr>
        <w:t>法规之规定， 按照平等、自愿、公平和诚实信用的原则， 经甲方和乙方协商一致</w:t>
      </w:r>
      <w:r>
        <w:rPr>
          <w:rFonts w:ascii="宋体" w:hAnsi="宋体" w:cs="宋体"/>
          <w:spacing w:val="-11"/>
          <w:sz w:val="24"/>
          <w:szCs w:val="24"/>
          <w:highlight w:val="none"/>
        </w:rPr>
        <w:t>，</w:t>
      </w:r>
      <w:r>
        <w:rPr>
          <w:rFonts w:ascii="宋体" w:hAnsi="宋体" w:cs="宋体"/>
          <w:sz w:val="24"/>
          <w:szCs w:val="24"/>
          <w:highlight w:val="none"/>
        </w:rPr>
        <w:t xml:space="preserve"> </w:t>
      </w:r>
      <w:r>
        <w:rPr>
          <w:rFonts w:ascii="宋体" w:hAnsi="宋体" w:cs="宋体"/>
          <w:spacing w:val="-3"/>
          <w:sz w:val="24"/>
          <w:szCs w:val="24"/>
          <w:highlight w:val="none"/>
        </w:rPr>
        <w:t>约</w:t>
      </w:r>
      <w:r>
        <w:rPr>
          <w:rFonts w:ascii="宋体" w:hAnsi="宋体" w:cs="宋体"/>
          <w:spacing w:val="-2"/>
          <w:sz w:val="24"/>
          <w:szCs w:val="24"/>
          <w:highlight w:val="none"/>
        </w:rPr>
        <w:t>定以下合同条款，以兹共同遵守、全面履行。</w:t>
      </w:r>
    </w:p>
    <w:p w14:paraId="0839C41A">
      <w:pPr>
        <w:spacing w:line="219" w:lineRule="auto"/>
        <w:ind w:left="576"/>
        <w:outlineLvl w:val="0"/>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8"/>
          <w:sz w:val="24"/>
          <w:szCs w:val="24"/>
          <w:highlight w:val="none"/>
        </w:rPr>
        <w:t>.</w:t>
      </w:r>
      <w:r>
        <w:rPr>
          <w:rFonts w:ascii="宋体" w:hAnsi="宋体" w:cs="宋体"/>
          <w:spacing w:val="-7"/>
          <w:sz w:val="24"/>
          <w:szCs w:val="24"/>
          <w:highlight w:val="none"/>
        </w:rPr>
        <w:t>1 合同组成部分</w:t>
      </w:r>
    </w:p>
    <w:p w14:paraId="04BBB980">
      <w:pPr>
        <w:spacing w:before="183" w:line="360" w:lineRule="auto"/>
        <w:ind w:left="125" w:right="31" w:firstLine="437"/>
        <w:rPr>
          <w:rFonts w:ascii="宋体" w:hAnsi="宋体" w:cs="宋体"/>
          <w:sz w:val="24"/>
          <w:szCs w:val="24"/>
          <w:highlight w:val="none"/>
        </w:rPr>
      </w:pPr>
      <w:r>
        <w:rPr>
          <w:rFonts w:ascii="宋体" w:hAnsi="宋体" w:cs="宋体"/>
          <w:spacing w:val="1"/>
          <w:sz w:val="24"/>
          <w:szCs w:val="24"/>
          <w:highlight w:val="none"/>
        </w:rPr>
        <w:t>下列文件为本合同的组成部分，并构成一</w:t>
      </w:r>
      <w:r>
        <w:rPr>
          <w:rFonts w:ascii="宋体" w:hAnsi="宋体" w:cs="宋体"/>
          <w:sz w:val="24"/>
          <w:szCs w:val="24"/>
          <w:highlight w:val="none"/>
        </w:rPr>
        <w:t xml:space="preserve">个整体，需综合解释、相互补充。 </w:t>
      </w:r>
      <w:r>
        <w:rPr>
          <w:rFonts w:ascii="宋体" w:hAnsi="宋体" w:cs="宋体"/>
          <w:spacing w:val="-12"/>
          <w:sz w:val="24"/>
          <w:szCs w:val="24"/>
          <w:highlight w:val="none"/>
        </w:rPr>
        <w:t>如</w:t>
      </w:r>
      <w:r>
        <w:rPr>
          <w:rFonts w:ascii="宋体" w:hAnsi="宋体" w:cs="宋体"/>
          <w:spacing w:val="-11"/>
          <w:sz w:val="24"/>
          <w:szCs w:val="24"/>
          <w:highlight w:val="none"/>
        </w:rPr>
        <w:t>果</w:t>
      </w:r>
      <w:r>
        <w:rPr>
          <w:rFonts w:ascii="宋体" w:hAnsi="宋体" w:cs="宋体"/>
          <w:spacing w:val="-6"/>
          <w:sz w:val="24"/>
          <w:szCs w:val="24"/>
          <w:highlight w:val="none"/>
        </w:rPr>
        <w:t>下列文件内容出现不一致的情形，那么在保证按照采购文件确定的事项前提</w:t>
      </w:r>
      <w:r>
        <w:rPr>
          <w:rFonts w:ascii="宋体" w:hAnsi="宋体" w:cs="宋体"/>
          <w:spacing w:val="-3"/>
          <w:sz w:val="24"/>
          <w:szCs w:val="24"/>
          <w:highlight w:val="none"/>
        </w:rPr>
        <w:t>下，组成本合同的多个文件的优先适用顺序如下：</w:t>
      </w:r>
    </w:p>
    <w:p w14:paraId="0558DE63">
      <w:pPr>
        <w:spacing w:line="217"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7"/>
          <w:sz w:val="24"/>
          <w:szCs w:val="24"/>
          <w:highlight w:val="none"/>
        </w:rPr>
        <w:t>1</w:t>
      </w:r>
      <w:r>
        <w:rPr>
          <w:rFonts w:ascii="宋体" w:hAnsi="宋体" w:cs="宋体"/>
          <w:spacing w:val="-6"/>
          <w:sz w:val="24"/>
          <w:szCs w:val="24"/>
          <w:highlight w:val="none"/>
        </w:rPr>
        <w:t>.1 本合同及其补充合同、变更协议；</w:t>
      </w:r>
    </w:p>
    <w:p w14:paraId="64D5444A">
      <w:pPr>
        <w:spacing w:before="185" w:line="219"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11"/>
          <w:sz w:val="24"/>
          <w:szCs w:val="24"/>
          <w:highlight w:val="none"/>
        </w:rPr>
        <w:t>.1.2 成交通知书；</w:t>
      </w:r>
    </w:p>
    <w:p w14:paraId="4EC61679">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1.1.3 响应文件(含澄清或者说</w:t>
      </w:r>
      <w:r>
        <w:rPr>
          <w:rFonts w:ascii="宋体" w:hAnsi="宋体" w:cs="宋体"/>
          <w:sz w:val="24"/>
          <w:szCs w:val="24"/>
          <w:highlight w:val="none"/>
        </w:rPr>
        <w:t>明文件)；</w:t>
      </w:r>
    </w:p>
    <w:p w14:paraId="5DE44BB0">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 xml:space="preserve">1.1.4 </w:t>
      </w:r>
      <w:r>
        <w:rPr>
          <w:rFonts w:hint="eastAsia" w:ascii="宋体" w:hAnsi="宋体" w:cs="宋体"/>
          <w:spacing w:val="1"/>
          <w:sz w:val="24"/>
          <w:szCs w:val="24"/>
          <w:highlight w:val="none"/>
        </w:rPr>
        <w:t>采购</w:t>
      </w:r>
      <w:r>
        <w:rPr>
          <w:rFonts w:ascii="宋体" w:hAnsi="宋体" w:cs="宋体"/>
          <w:spacing w:val="1"/>
          <w:sz w:val="24"/>
          <w:szCs w:val="24"/>
          <w:highlight w:val="none"/>
        </w:rPr>
        <w:t>文件(含澄清或者修</w:t>
      </w:r>
      <w:r>
        <w:rPr>
          <w:rFonts w:ascii="宋体" w:hAnsi="宋体" w:cs="宋体"/>
          <w:sz w:val="24"/>
          <w:szCs w:val="24"/>
          <w:highlight w:val="none"/>
        </w:rPr>
        <w:t>改文件)；</w:t>
      </w:r>
    </w:p>
    <w:p w14:paraId="4093D7AB">
      <w:pPr>
        <w:spacing w:before="183" w:line="217" w:lineRule="auto"/>
        <w:ind w:left="574"/>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12"/>
          <w:sz w:val="24"/>
          <w:szCs w:val="24"/>
          <w:highlight w:val="none"/>
        </w:rPr>
        <w:t>.</w:t>
      </w:r>
      <w:r>
        <w:rPr>
          <w:rFonts w:ascii="宋体" w:hAnsi="宋体" w:cs="宋体"/>
          <w:spacing w:val="-7"/>
          <w:sz w:val="24"/>
          <w:szCs w:val="24"/>
          <w:highlight w:val="none"/>
        </w:rPr>
        <w:t>1.5 其他相关采购文件。</w:t>
      </w:r>
    </w:p>
    <w:p w14:paraId="3BCC2223">
      <w:pPr>
        <w:spacing w:before="185" w:line="220" w:lineRule="auto"/>
        <w:ind w:left="576"/>
        <w:outlineLvl w:val="0"/>
        <w:rPr>
          <w:rFonts w:ascii="宋体" w:hAnsi="宋体" w:cs="宋体"/>
          <w:sz w:val="24"/>
          <w:szCs w:val="24"/>
          <w:highlight w:val="none"/>
        </w:rPr>
      </w:pPr>
      <w:r>
        <w:rPr>
          <w:rFonts w:ascii="宋体" w:hAnsi="宋体" w:cs="宋体"/>
          <w:spacing w:val="-3"/>
          <w:sz w:val="24"/>
          <w:szCs w:val="24"/>
          <w:highlight w:val="none"/>
        </w:rPr>
        <w:t>1.2 服务</w:t>
      </w:r>
    </w:p>
    <w:p w14:paraId="15BE3707">
      <w:pPr>
        <w:spacing w:before="182" w:line="220" w:lineRule="auto"/>
        <w:ind w:left="574"/>
        <w:rPr>
          <w:rFonts w:ascii="宋体" w:hAnsi="宋体" w:cs="宋体"/>
          <w:sz w:val="24"/>
          <w:szCs w:val="24"/>
          <w:highlight w:val="none"/>
        </w:rPr>
      </w:pPr>
      <w:r>
        <w:rPr>
          <w:rFonts w:ascii="宋体" w:hAnsi="宋体" w:cs="宋体"/>
          <w:spacing w:val="-17"/>
          <w:sz w:val="24"/>
          <w:szCs w:val="24"/>
          <w:highlight w:val="none"/>
        </w:rPr>
        <w:t>1.2.1 服务名称：；</w:t>
      </w:r>
    </w:p>
    <w:p w14:paraId="16F617E6">
      <w:pPr>
        <w:spacing w:before="182" w:line="220" w:lineRule="auto"/>
        <w:ind w:left="574"/>
        <w:rPr>
          <w:rFonts w:ascii="宋体" w:hAnsi="宋体" w:cs="宋体"/>
          <w:sz w:val="24"/>
          <w:szCs w:val="24"/>
          <w:highlight w:val="none"/>
        </w:rPr>
      </w:pPr>
      <w:r>
        <w:rPr>
          <w:rFonts w:ascii="宋体" w:hAnsi="宋体" w:cs="宋体"/>
          <w:spacing w:val="-23"/>
          <w:sz w:val="24"/>
          <w:szCs w:val="24"/>
          <w:highlight w:val="none"/>
        </w:rPr>
        <w:t>1</w:t>
      </w:r>
      <w:r>
        <w:rPr>
          <w:rFonts w:ascii="宋体" w:hAnsi="宋体" w:cs="宋体"/>
          <w:spacing w:val="-14"/>
          <w:sz w:val="24"/>
          <w:szCs w:val="24"/>
          <w:highlight w:val="none"/>
        </w:rPr>
        <w:t>.2.2 服务内容：；</w:t>
      </w:r>
    </w:p>
    <w:p w14:paraId="595F04E7">
      <w:pPr>
        <w:spacing w:before="182" w:line="220" w:lineRule="auto"/>
        <w:ind w:left="574"/>
        <w:rPr>
          <w:rFonts w:ascii="宋体" w:hAnsi="宋体" w:cs="宋体"/>
          <w:sz w:val="24"/>
          <w:szCs w:val="24"/>
          <w:highlight w:val="none"/>
        </w:rPr>
      </w:pPr>
      <w:r>
        <w:rPr>
          <w:rFonts w:ascii="宋体" w:hAnsi="宋体" w:cs="宋体"/>
          <w:spacing w:val="-28"/>
          <w:sz w:val="24"/>
          <w:szCs w:val="24"/>
          <w:highlight w:val="none"/>
        </w:rPr>
        <w:t>1</w:t>
      </w:r>
      <w:r>
        <w:rPr>
          <w:rFonts w:ascii="宋体" w:hAnsi="宋体" w:cs="宋体"/>
          <w:spacing w:val="-18"/>
          <w:sz w:val="24"/>
          <w:szCs w:val="24"/>
          <w:highlight w:val="none"/>
        </w:rPr>
        <w:t>.2.3 服务质量：。</w:t>
      </w:r>
    </w:p>
    <w:p w14:paraId="3FD72A37">
      <w:pPr>
        <w:spacing w:before="183" w:line="218" w:lineRule="auto"/>
        <w:ind w:left="576"/>
        <w:outlineLvl w:val="0"/>
        <w:rPr>
          <w:rFonts w:ascii="宋体" w:hAnsi="宋体" w:cs="宋体"/>
          <w:sz w:val="24"/>
          <w:szCs w:val="24"/>
          <w:highlight w:val="none"/>
        </w:rPr>
      </w:pPr>
      <w:r>
        <w:rPr>
          <w:rFonts w:ascii="宋体" w:hAnsi="宋体" w:cs="宋体"/>
          <w:spacing w:val="-3"/>
          <w:sz w:val="24"/>
          <w:szCs w:val="24"/>
          <w:highlight w:val="none"/>
        </w:rPr>
        <w:t>1.3 价款</w:t>
      </w:r>
    </w:p>
    <w:p w14:paraId="35E6A71E">
      <w:pPr>
        <w:spacing w:before="185" w:line="468" w:lineRule="exact"/>
        <w:ind w:left="557"/>
        <w:rPr>
          <w:rFonts w:ascii="宋体" w:hAnsi="宋体" w:cs="宋体"/>
          <w:sz w:val="24"/>
          <w:szCs w:val="24"/>
          <w:highlight w:val="none"/>
        </w:rPr>
      </w:pPr>
      <w:r>
        <w:rPr>
          <w:rFonts w:ascii="宋体" w:hAnsi="宋体" w:cs="宋体"/>
          <w:spacing w:val="-2"/>
          <w:position w:val="17"/>
          <w:sz w:val="24"/>
          <w:szCs w:val="24"/>
          <w:highlight w:val="none"/>
        </w:rPr>
        <w:t>本合同总价为</w:t>
      </w:r>
      <w:r>
        <w:rPr>
          <w:rFonts w:ascii="宋体" w:hAnsi="宋体" w:cs="宋体"/>
          <w:spacing w:val="-1"/>
          <w:position w:val="17"/>
          <w:sz w:val="24"/>
          <w:szCs w:val="24"/>
          <w:highlight w:val="none"/>
        </w:rPr>
        <w:t>：</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￥元 (大写：</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人民币元)。</w:t>
      </w:r>
    </w:p>
    <w:p w14:paraId="3B9161BF">
      <w:pPr>
        <w:spacing w:line="218" w:lineRule="auto"/>
        <w:ind w:left="559"/>
        <w:rPr>
          <w:rFonts w:ascii="宋体" w:hAnsi="宋体" w:cs="宋体"/>
          <w:sz w:val="24"/>
          <w:szCs w:val="24"/>
          <w:highlight w:val="none"/>
        </w:rPr>
      </w:pPr>
      <w:r>
        <w:rPr>
          <w:rFonts w:ascii="宋体" w:hAnsi="宋体" w:cs="宋体"/>
          <w:spacing w:val="-14"/>
          <w:sz w:val="24"/>
          <w:szCs w:val="24"/>
          <w:highlight w:val="none"/>
        </w:rPr>
        <w:t>分</w:t>
      </w:r>
      <w:r>
        <w:rPr>
          <w:rFonts w:ascii="宋体" w:hAnsi="宋体" w:cs="宋体"/>
          <w:spacing w:val="-10"/>
          <w:sz w:val="24"/>
          <w:szCs w:val="24"/>
          <w:highlight w:val="none"/>
        </w:rPr>
        <w:t>项价格：</w:t>
      </w:r>
    </w:p>
    <w:p w14:paraId="37F7AEB3">
      <w:pPr>
        <w:spacing w:line="71" w:lineRule="exact"/>
        <w:rPr>
          <w:highlight w:val="none"/>
        </w:rPr>
      </w:pPr>
    </w:p>
    <w:tbl>
      <w:tblPr>
        <w:tblStyle w:val="9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4303"/>
        <w:gridCol w:w="20"/>
        <w:gridCol w:w="3220"/>
        <w:gridCol w:w="23"/>
      </w:tblGrid>
      <w:tr w14:paraId="637AA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962" w:type="dxa"/>
          </w:tcPr>
          <w:p w14:paraId="6BAD15E8">
            <w:pPr>
              <w:spacing w:before="67" w:line="221" w:lineRule="auto"/>
              <w:ind w:left="245"/>
              <w:rPr>
                <w:rFonts w:ascii="宋体" w:hAnsi="宋体" w:cs="宋体"/>
                <w:sz w:val="24"/>
                <w:szCs w:val="24"/>
                <w:highlight w:val="none"/>
              </w:rPr>
            </w:pPr>
            <w:r>
              <w:rPr>
                <w:rFonts w:ascii="宋体" w:hAnsi="宋体" w:cs="宋体"/>
                <w:spacing w:val="-3"/>
                <w:sz w:val="24"/>
                <w:szCs w:val="24"/>
                <w:highlight w:val="none"/>
              </w:rPr>
              <w:t>序</w:t>
            </w:r>
            <w:r>
              <w:rPr>
                <w:rFonts w:ascii="宋体" w:hAnsi="宋体" w:cs="宋体"/>
                <w:spacing w:val="-2"/>
                <w:sz w:val="24"/>
                <w:szCs w:val="24"/>
                <w:highlight w:val="none"/>
              </w:rPr>
              <w:t>号</w:t>
            </w:r>
          </w:p>
        </w:tc>
        <w:tc>
          <w:tcPr>
            <w:tcW w:w="4305" w:type="dxa"/>
          </w:tcPr>
          <w:p w14:paraId="26F69A7F">
            <w:pPr>
              <w:spacing w:before="67" w:line="220" w:lineRule="auto"/>
              <w:ind w:left="1784"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项名称</w:t>
            </w:r>
          </w:p>
        </w:tc>
        <w:tc>
          <w:tcPr>
            <w:tcW w:w="3241" w:type="dxa"/>
            <w:gridSpan w:val="2"/>
          </w:tcPr>
          <w:p w14:paraId="06CDF2E9">
            <w:pPr>
              <w:spacing w:before="67" w:line="218" w:lineRule="auto"/>
              <w:ind w:left="1156"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项价格</w:t>
            </w:r>
          </w:p>
        </w:tc>
        <w:tc>
          <w:tcPr>
            <w:tcW w:w="20" w:type="dxa"/>
            <w:tcBorders>
              <w:top w:val="nil"/>
              <w:bottom w:val="nil"/>
              <w:right w:val="nil"/>
            </w:tcBorders>
          </w:tcPr>
          <w:p w14:paraId="6F368675">
            <w:pPr>
              <w:rPr>
                <w:rFonts w:cs="Arial"/>
                <w:highlight w:val="none"/>
              </w:rPr>
            </w:pPr>
          </w:p>
        </w:tc>
      </w:tr>
      <w:tr w14:paraId="4318E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3D30FEE">
            <w:pPr>
              <w:spacing w:before="73" w:line="185" w:lineRule="auto"/>
              <w:jc w:val="center"/>
              <w:rPr>
                <w:rFonts w:ascii="宋体" w:hAnsi="宋体" w:cs="宋体"/>
                <w:sz w:val="24"/>
                <w:szCs w:val="24"/>
                <w:highlight w:val="none"/>
              </w:rPr>
            </w:pPr>
            <w:r>
              <w:rPr>
                <w:rFonts w:ascii="宋体" w:hAnsi="宋体" w:cs="宋体"/>
                <w:sz w:val="24"/>
                <w:szCs w:val="24"/>
                <w:highlight w:val="none"/>
              </w:rPr>
              <w:t>1</w:t>
            </w:r>
          </w:p>
        </w:tc>
        <w:tc>
          <w:tcPr>
            <w:tcW w:w="4305" w:type="dxa"/>
          </w:tcPr>
          <w:p w14:paraId="69ADE247">
            <w:pPr>
              <w:rPr>
                <w:rFonts w:cs="Arial"/>
                <w:highlight w:val="none"/>
              </w:rPr>
            </w:pPr>
          </w:p>
        </w:tc>
        <w:tc>
          <w:tcPr>
            <w:tcW w:w="3241" w:type="dxa"/>
            <w:gridSpan w:val="2"/>
          </w:tcPr>
          <w:p w14:paraId="7B2E49FE">
            <w:pPr>
              <w:rPr>
                <w:rFonts w:cs="Arial"/>
                <w:highlight w:val="none"/>
              </w:rPr>
            </w:pPr>
          </w:p>
        </w:tc>
        <w:tc>
          <w:tcPr>
            <w:tcW w:w="20" w:type="dxa"/>
            <w:tcBorders>
              <w:top w:val="nil"/>
              <w:bottom w:val="nil"/>
              <w:right w:val="nil"/>
            </w:tcBorders>
          </w:tcPr>
          <w:p w14:paraId="696758AE">
            <w:pPr>
              <w:rPr>
                <w:rFonts w:cs="Arial"/>
                <w:highlight w:val="none"/>
              </w:rPr>
            </w:pPr>
          </w:p>
        </w:tc>
      </w:tr>
      <w:tr w14:paraId="2A66B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44C11CA">
            <w:pPr>
              <w:spacing w:before="75" w:line="184" w:lineRule="auto"/>
              <w:jc w:val="center"/>
              <w:rPr>
                <w:rFonts w:ascii="宋体" w:hAnsi="宋体" w:cs="宋体"/>
                <w:sz w:val="24"/>
                <w:szCs w:val="24"/>
                <w:highlight w:val="none"/>
              </w:rPr>
            </w:pPr>
            <w:r>
              <w:rPr>
                <w:rFonts w:ascii="宋体" w:hAnsi="宋体" w:cs="宋体"/>
                <w:sz w:val="24"/>
                <w:szCs w:val="24"/>
                <w:highlight w:val="none"/>
              </w:rPr>
              <w:t>2</w:t>
            </w:r>
          </w:p>
        </w:tc>
        <w:tc>
          <w:tcPr>
            <w:tcW w:w="4305" w:type="dxa"/>
          </w:tcPr>
          <w:p w14:paraId="75B854EA">
            <w:pPr>
              <w:rPr>
                <w:rFonts w:cs="Arial"/>
                <w:highlight w:val="none"/>
              </w:rPr>
            </w:pPr>
          </w:p>
        </w:tc>
        <w:tc>
          <w:tcPr>
            <w:tcW w:w="3241" w:type="dxa"/>
            <w:gridSpan w:val="2"/>
          </w:tcPr>
          <w:p w14:paraId="3C1C4626">
            <w:pPr>
              <w:rPr>
                <w:rFonts w:cs="Arial"/>
                <w:highlight w:val="none"/>
              </w:rPr>
            </w:pPr>
          </w:p>
        </w:tc>
        <w:tc>
          <w:tcPr>
            <w:tcW w:w="20" w:type="dxa"/>
            <w:tcBorders>
              <w:top w:val="nil"/>
              <w:bottom w:val="nil"/>
              <w:right w:val="nil"/>
            </w:tcBorders>
          </w:tcPr>
          <w:p w14:paraId="40697B98">
            <w:pPr>
              <w:rPr>
                <w:rFonts w:cs="Arial"/>
                <w:highlight w:val="none"/>
              </w:rPr>
            </w:pPr>
          </w:p>
        </w:tc>
      </w:tr>
      <w:tr w14:paraId="7277A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3" w:hRule="atLeast"/>
        </w:trPr>
        <w:tc>
          <w:tcPr>
            <w:tcW w:w="962" w:type="dxa"/>
          </w:tcPr>
          <w:p w14:paraId="0C57ADEA">
            <w:pPr>
              <w:spacing w:before="76" w:line="183" w:lineRule="auto"/>
              <w:jc w:val="center"/>
              <w:rPr>
                <w:rFonts w:ascii="宋体" w:hAnsi="宋体" w:cs="宋体"/>
                <w:sz w:val="24"/>
                <w:szCs w:val="24"/>
                <w:highlight w:val="none"/>
              </w:rPr>
            </w:pPr>
            <w:r>
              <w:rPr>
                <w:rFonts w:ascii="宋体" w:hAnsi="宋体" w:cs="宋体"/>
                <w:sz w:val="24"/>
                <w:szCs w:val="24"/>
                <w:highlight w:val="none"/>
              </w:rPr>
              <w:t>3</w:t>
            </w:r>
          </w:p>
        </w:tc>
        <w:tc>
          <w:tcPr>
            <w:tcW w:w="4305" w:type="dxa"/>
          </w:tcPr>
          <w:p w14:paraId="42FD6DE4">
            <w:pPr>
              <w:rPr>
                <w:rFonts w:cs="Arial"/>
                <w:highlight w:val="none"/>
              </w:rPr>
            </w:pPr>
          </w:p>
        </w:tc>
        <w:tc>
          <w:tcPr>
            <w:tcW w:w="3241" w:type="dxa"/>
            <w:gridSpan w:val="2"/>
          </w:tcPr>
          <w:p w14:paraId="2A0EE047">
            <w:pPr>
              <w:rPr>
                <w:rFonts w:cs="Arial"/>
                <w:highlight w:val="none"/>
              </w:rPr>
            </w:pPr>
          </w:p>
        </w:tc>
        <w:tc>
          <w:tcPr>
            <w:tcW w:w="20" w:type="dxa"/>
            <w:tcBorders>
              <w:top w:val="nil"/>
              <w:bottom w:val="nil"/>
              <w:right w:val="nil"/>
            </w:tcBorders>
          </w:tcPr>
          <w:p w14:paraId="2302D746">
            <w:pPr>
              <w:rPr>
                <w:rFonts w:cs="Arial"/>
                <w:highlight w:val="none"/>
              </w:rPr>
            </w:pPr>
          </w:p>
        </w:tc>
      </w:tr>
      <w:tr w14:paraId="4E41E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2" w:type="dxa"/>
          </w:tcPr>
          <w:p w14:paraId="42DEE8EA">
            <w:pPr>
              <w:spacing w:before="37" w:line="336" w:lineRule="exact"/>
              <w:rPr>
                <w:rFonts w:ascii="宋体" w:hAnsi="宋体" w:cs="宋体"/>
                <w:sz w:val="24"/>
                <w:szCs w:val="24"/>
                <w:highlight w:val="none"/>
              </w:rPr>
            </w:pPr>
            <w:r>
              <w:rPr>
                <w:rFonts w:ascii="宋体" w:hAnsi="宋体" w:cs="宋体"/>
                <w:spacing w:val="-7"/>
                <w:position w:val="1"/>
                <w:sz w:val="24"/>
                <w:szCs w:val="24"/>
                <w:highlight w:val="none"/>
              </w:rPr>
              <w:t>…</w:t>
            </w:r>
            <w:r>
              <w:rPr>
                <w:rFonts w:ascii="宋体" w:hAnsi="宋体" w:cs="宋体"/>
                <w:spacing w:val="-6"/>
                <w:position w:val="1"/>
                <w:sz w:val="24"/>
                <w:szCs w:val="24"/>
                <w:highlight w:val="none"/>
              </w:rPr>
              <w:t>…</w:t>
            </w:r>
          </w:p>
        </w:tc>
        <w:tc>
          <w:tcPr>
            <w:tcW w:w="4305" w:type="dxa"/>
          </w:tcPr>
          <w:p w14:paraId="3E6CF197">
            <w:pPr>
              <w:rPr>
                <w:rFonts w:cs="Arial"/>
                <w:highlight w:val="none"/>
              </w:rPr>
            </w:pPr>
          </w:p>
        </w:tc>
        <w:tc>
          <w:tcPr>
            <w:tcW w:w="3241" w:type="dxa"/>
            <w:gridSpan w:val="2"/>
          </w:tcPr>
          <w:p w14:paraId="00AFFD42">
            <w:pPr>
              <w:rPr>
                <w:rFonts w:cs="Arial"/>
                <w:highlight w:val="none"/>
              </w:rPr>
            </w:pPr>
          </w:p>
        </w:tc>
        <w:tc>
          <w:tcPr>
            <w:tcW w:w="20" w:type="dxa"/>
            <w:tcBorders>
              <w:top w:val="nil"/>
              <w:bottom w:val="single" w:color="FFFFFF" w:sz="2" w:space="0"/>
              <w:right w:val="nil"/>
            </w:tcBorders>
          </w:tcPr>
          <w:p w14:paraId="5FCD23BA">
            <w:pPr>
              <w:rPr>
                <w:rFonts w:cs="Arial"/>
                <w:highlight w:val="none"/>
              </w:rPr>
            </w:pPr>
          </w:p>
        </w:tc>
      </w:tr>
      <w:tr w14:paraId="028A1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287" w:type="dxa"/>
            <w:gridSpan w:val="3"/>
          </w:tcPr>
          <w:p w14:paraId="4B350794">
            <w:pPr>
              <w:spacing w:before="66" w:line="218" w:lineRule="auto"/>
              <w:ind w:left="2516" w:firstLine="464"/>
              <w:rPr>
                <w:rFonts w:ascii="宋体" w:hAnsi="宋体" w:cs="宋体"/>
                <w:sz w:val="24"/>
                <w:szCs w:val="24"/>
                <w:highlight w:val="none"/>
              </w:rPr>
            </w:pPr>
            <w:r>
              <w:rPr>
                <w:rFonts w:ascii="宋体" w:hAnsi="宋体" w:cs="宋体"/>
                <w:spacing w:val="-4"/>
                <w:sz w:val="24"/>
                <w:szCs w:val="24"/>
                <w:highlight w:val="none"/>
              </w:rPr>
              <w:t>总价</w:t>
            </w:r>
          </w:p>
        </w:tc>
        <w:tc>
          <w:tcPr>
            <w:tcW w:w="3241" w:type="dxa"/>
            <w:gridSpan w:val="2"/>
          </w:tcPr>
          <w:p w14:paraId="458ED036">
            <w:pPr>
              <w:rPr>
                <w:rFonts w:cs="Arial"/>
                <w:highlight w:val="none"/>
              </w:rPr>
            </w:pPr>
          </w:p>
        </w:tc>
      </w:tr>
    </w:tbl>
    <w:p w14:paraId="46013C6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 付款方式和发票开具方式</w:t>
      </w:r>
    </w:p>
    <w:p w14:paraId="676B8CC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1.4.1 付款方式：；</w:t>
      </w:r>
    </w:p>
    <w:p w14:paraId="03EC211E">
      <w:pPr>
        <w:spacing w:before="182" w:line="220" w:lineRule="auto"/>
        <w:ind w:left="490"/>
        <w:rPr>
          <w:rFonts w:ascii="宋体" w:hAnsi="宋体" w:cs="宋体"/>
          <w:spacing w:val="-14"/>
          <w:sz w:val="24"/>
          <w:szCs w:val="24"/>
          <w:highlight w:val="none"/>
        </w:rPr>
        <w:sectPr>
          <w:headerReference r:id="rId4" w:type="default"/>
          <w:footerReference r:id="rId5" w:type="default"/>
          <w:pgSz w:w="11907" w:h="16839"/>
          <w:pgMar w:top="1118" w:right="1685" w:bottom="1233" w:left="1687" w:header="877" w:footer="982" w:gutter="0"/>
          <w:pgNumType w:fmt="decimal"/>
          <w:cols w:space="720" w:num="1"/>
        </w:sectPr>
      </w:pPr>
    </w:p>
    <w:p w14:paraId="3257AA5A">
      <w:pPr>
        <w:spacing w:before="182" w:line="220" w:lineRule="auto"/>
        <w:ind w:left="490"/>
        <w:rPr>
          <w:rFonts w:ascii="宋体" w:hAnsi="宋体" w:cs="宋体"/>
          <w:spacing w:val="-14"/>
          <w:sz w:val="24"/>
          <w:szCs w:val="24"/>
          <w:highlight w:val="none"/>
        </w:rPr>
      </w:pPr>
    </w:p>
    <w:p w14:paraId="71ECCCD6">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1.4.2 发票开具方式： 。</w:t>
      </w:r>
    </w:p>
    <w:p w14:paraId="22A2901C">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 服务期限、地点和方式</w:t>
      </w:r>
    </w:p>
    <w:p w14:paraId="15373B0A">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1.5.1 服务期限：；</w:t>
      </w:r>
    </w:p>
    <w:p w14:paraId="0576A30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1.5.2 服务地点：；</w:t>
      </w:r>
    </w:p>
    <w:p w14:paraId="37166E5F">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1.5.3 服务方式：。</w:t>
      </w:r>
    </w:p>
    <w:p w14:paraId="39A151D1">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1.6 违约责任</w:t>
      </w:r>
    </w:p>
    <w:p w14:paraId="7B5A8D37">
      <w:pPr>
        <w:spacing w:before="187" w:line="360" w:lineRule="auto"/>
        <w:ind w:left="37" w:right="222"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.6.1 除不可抗力外，如果乙方没有按照本合同约定的期限、地点和方式履</w:t>
      </w:r>
      <w:r>
        <w:rPr>
          <w:rFonts w:ascii="宋体" w:hAnsi="宋体" w:cs="宋体"/>
          <w:sz w:val="24"/>
          <w:szCs w:val="24"/>
          <w:highlight w:val="none"/>
        </w:rPr>
        <w:t xml:space="preserve"> </w:t>
      </w:r>
      <w:r>
        <w:rPr>
          <w:rFonts w:ascii="宋体" w:hAnsi="宋体" w:cs="宋体"/>
          <w:spacing w:val="-3"/>
          <w:sz w:val="24"/>
          <w:szCs w:val="24"/>
          <w:highlight w:val="none"/>
        </w:rPr>
        <w:t>行，那么甲方可要求乙方支付违约金，违约金按每迟延履行一日的应提供而未</w:t>
      </w:r>
      <w:r>
        <w:rPr>
          <w:rFonts w:ascii="宋体" w:hAnsi="宋体" w:cs="宋体"/>
          <w:spacing w:val="-1"/>
          <w:sz w:val="24"/>
          <w:szCs w:val="24"/>
          <w:highlight w:val="none"/>
        </w:rPr>
        <w:t>提</w:t>
      </w:r>
      <w:r>
        <w:rPr>
          <w:rFonts w:ascii="宋体" w:hAnsi="宋体" w:cs="宋体"/>
          <w:sz w:val="24"/>
          <w:szCs w:val="24"/>
          <w:highlight w:val="none"/>
        </w:rPr>
        <w:t xml:space="preserve"> </w:t>
      </w:r>
      <w:r>
        <w:rPr>
          <w:rFonts w:ascii="宋体" w:hAnsi="宋体" w:cs="宋体"/>
          <w:spacing w:val="-3"/>
          <w:sz w:val="24"/>
          <w:szCs w:val="24"/>
          <w:highlight w:val="none"/>
        </w:rPr>
        <w:t>供服务价格的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%计算，最高限额为本合同总价的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%；迟延履行的违约金计算数</w:t>
      </w:r>
      <w:r>
        <w:rPr>
          <w:rFonts w:ascii="宋体" w:hAnsi="宋体" w:cs="宋体"/>
          <w:spacing w:val="-2"/>
          <w:sz w:val="24"/>
          <w:szCs w:val="24"/>
          <w:highlight w:val="none"/>
        </w:rPr>
        <w:t>额</w:t>
      </w:r>
      <w:r>
        <w:rPr>
          <w:rFonts w:ascii="宋体" w:hAnsi="宋体" w:cs="宋体"/>
          <w:sz w:val="24"/>
          <w:szCs w:val="24"/>
          <w:highlight w:val="none"/>
        </w:rPr>
        <w:t>达</w:t>
      </w:r>
      <w:r>
        <w:rPr>
          <w:rFonts w:ascii="宋体" w:hAnsi="宋体" w:cs="宋体"/>
          <w:spacing w:val="-3"/>
          <w:sz w:val="24"/>
          <w:szCs w:val="24"/>
          <w:highlight w:val="none"/>
        </w:rPr>
        <w:t>到前述最高限额之日起，甲方有权在要求乙方支付违约金的同时，书面通知乙</w:t>
      </w:r>
      <w:r>
        <w:rPr>
          <w:rFonts w:ascii="宋体" w:hAnsi="宋体" w:cs="宋体"/>
          <w:spacing w:val="-2"/>
          <w:sz w:val="24"/>
          <w:szCs w:val="24"/>
          <w:highlight w:val="none"/>
        </w:rPr>
        <w:t>方解除本</w:t>
      </w:r>
      <w:r>
        <w:rPr>
          <w:rFonts w:ascii="宋体" w:hAnsi="宋体" w:cs="宋体"/>
          <w:spacing w:val="-1"/>
          <w:sz w:val="24"/>
          <w:szCs w:val="24"/>
          <w:highlight w:val="none"/>
        </w:rPr>
        <w:t>合同；</w:t>
      </w:r>
    </w:p>
    <w:p w14:paraId="51B2DFEA">
      <w:pPr>
        <w:spacing w:line="360" w:lineRule="auto"/>
        <w:ind w:left="39" w:right="156" w:firstLine="451"/>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6.2 除不可抗力外，如果甲方没有按照本合同约定的付款方式付款，那么</w:t>
      </w:r>
      <w:r>
        <w:rPr>
          <w:rFonts w:ascii="宋体" w:hAnsi="宋体" w:cs="宋体"/>
          <w:spacing w:val="-8"/>
          <w:sz w:val="24"/>
          <w:szCs w:val="24"/>
          <w:highlight w:val="none"/>
        </w:rPr>
        <w:t>乙方可</w:t>
      </w:r>
      <w:r>
        <w:rPr>
          <w:rFonts w:ascii="宋体" w:hAnsi="宋体" w:cs="宋体"/>
          <w:spacing w:val="-4"/>
          <w:sz w:val="24"/>
          <w:szCs w:val="24"/>
          <w:highlight w:val="none"/>
        </w:rPr>
        <w:t>要求甲方支付违约金，违约金按每迟延付款一日的应付而未付款的</w:t>
      </w:r>
      <w:r>
        <w:rPr>
          <w:rFonts w:hint="eastAsia" w:ascii="宋体" w:hAnsi="宋体" w:cs="宋体"/>
          <w:spacing w:val="-4"/>
          <w:sz w:val="24"/>
          <w:szCs w:val="24"/>
          <w:highlight w:val="none"/>
        </w:rPr>
        <w:t xml:space="preserve"> </w:t>
      </w:r>
      <w:r>
        <w:rPr>
          <w:rFonts w:ascii="宋体" w:hAnsi="宋体" w:cs="宋体"/>
          <w:spacing w:val="-4"/>
          <w:sz w:val="24"/>
          <w:szCs w:val="24"/>
          <w:highlight w:val="none"/>
        </w:rPr>
        <w:t>%计算，</w:t>
      </w:r>
      <w:r>
        <w:rPr>
          <w:rFonts w:ascii="宋体" w:hAnsi="宋体" w:cs="宋体"/>
          <w:sz w:val="24"/>
          <w:szCs w:val="24"/>
          <w:highlight w:val="none"/>
        </w:rPr>
        <w:t xml:space="preserve"> </w:t>
      </w:r>
      <w:r>
        <w:rPr>
          <w:rFonts w:ascii="宋体" w:hAnsi="宋体" w:cs="宋体"/>
          <w:spacing w:val="1"/>
          <w:sz w:val="24"/>
          <w:szCs w:val="24"/>
          <w:highlight w:val="none"/>
        </w:rPr>
        <w:t>最高限额为本合同总价</w:t>
      </w:r>
      <w:r>
        <w:rPr>
          <w:rFonts w:ascii="宋体" w:hAnsi="宋体" w:cs="宋体"/>
          <w:sz w:val="24"/>
          <w:szCs w:val="24"/>
          <w:highlight w:val="none"/>
        </w:rPr>
        <w:t>的</w:t>
      </w:r>
      <w:r>
        <w:rPr>
          <w:rFonts w:hint="eastAsia" w:ascii="宋体" w:hAnsi="宋体" w:cs="宋体"/>
          <w:sz w:val="24"/>
          <w:szCs w:val="24"/>
          <w:highlight w:val="none"/>
        </w:rPr>
        <w:t xml:space="preserve"> </w:t>
      </w:r>
      <w:r>
        <w:rPr>
          <w:rFonts w:ascii="宋体" w:hAnsi="宋体" w:cs="宋体"/>
          <w:sz w:val="24"/>
          <w:szCs w:val="24"/>
          <w:highlight w:val="none"/>
        </w:rPr>
        <w:t>%；迟延付款的违约金计算数额达到前述最高限额之日</w:t>
      </w:r>
      <w:r>
        <w:rPr>
          <w:rFonts w:ascii="宋体" w:hAnsi="宋体" w:cs="宋体"/>
          <w:spacing w:val="-1"/>
          <w:sz w:val="24"/>
          <w:szCs w:val="24"/>
          <w:highlight w:val="none"/>
        </w:rPr>
        <w:t>起，乙方有权在要求甲</w:t>
      </w:r>
      <w:r>
        <w:rPr>
          <w:rFonts w:ascii="宋体" w:hAnsi="宋体" w:cs="宋体"/>
          <w:sz w:val="24"/>
          <w:szCs w:val="24"/>
          <w:highlight w:val="none"/>
        </w:rPr>
        <w:t>方支付违约金的同时，书面通知甲方解除本合同；</w:t>
      </w:r>
    </w:p>
    <w:p w14:paraId="2F4A2783">
      <w:pPr>
        <w:spacing w:before="1" w:line="360" w:lineRule="auto"/>
        <w:ind w:left="38" w:firstLine="452"/>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6.3 除不可抗力外，任何一方未能履行本合同约定的其他主要义务，经催</w:t>
      </w:r>
      <w:r>
        <w:rPr>
          <w:rFonts w:ascii="宋体" w:hAnsi="宋体" w:cs="宋体"/>
          <w:spacing w:val="-12"/>
          <w:sz w:val="24"/>
          <w:szCs w:val="24"/>
          <w:highlight w:val="none"/>
        </w:rPr>
        <w:t>告</w:t>
      </w:r>
      <w:r>
        <w:rPr>
          <w:rFonts w:ascii="宋体" w:hAnsi="宋体" w:cs="宋体"/>
          <w:spacing w:val="-7"/>
          <w:sz w:val="24"/>
          <w:szCs w:val="24"/>
          <w:highlight w:val="none"/>
        </w:rPr>
        <w:t>后</w:t>
      </w:r>
      <w:r>
        <w:rPr>
          <w:rFonts w:ascii="宋体" w:hAnsi="宋体" w:cs="宋体"/>
          <w:spacing w:val="-6"/>
          <w:sz w:val="24"/>
          <w:szCs w:val="24"/>
          <w:highlight w:val="none"/>
        </w:rPr>
        <w:t>在合理期限内仍未履行的， 或者任何一方有其他违约行为致使不能实现合同</w:t>
      </w:r>
      <w:r>
        <w:rPr>
          <w:rFonts w:ascii="宋体" w:hAnsi="宋体" w:cs="宋体"/>
          <w:spacing w:val="-7"/>
          <w:sz w:val="24"/>
          <w:szCs w:val="24"/>
          <w:highlight w:val="none"/>
        </w:rPr>
        <w:t>目</w:t>
      </w:r>
      <w:r>
        <w:rPr>
          <w:rFonts w:ascii="宋体" w:hAnsi="宋体" w:cs="宋体"/>
          <w:spacing w:val="-6"/>
          <w:sz w:val="24"/>
          <w:szCs w:val="24"/>
          <w:highlight w:val="none"/>
        </w:rPr>
        <w:t>的的， 或者任何一方有腐败行为(即：提供或给予或接受或索取任何财物或其他好处</w:t>
      </w:r>
      <w:r>
        <w:rPr>
          <w:rFonts w:ascii="宋体" w:hAnsi="宋体" w:cs="宋体"/>
          <w:spacing w:val="-5"/>
          <w:sz w:val="24"/>
          <w:szCs w:val="24"/>
          <w:highlight w:val="none"/>
        </w:rPr>
        <w:t>或</w:t>
      </w:r>
      <w:r>
        <w:rPr>
          <w:rFonts w:ascii="宋体" w:hAnsi="宋体" w:cs="宋体"/>
          <w:spacing w:val="-3"/>
          <w:sz w:val="24"/>
          <w:szCs w:val="24"/>
          <w:highlight w:val="none"/>
        </w:rPr>
        <w:t>者采取其他不正当手段影响对方当事人在合同签订、履行过程中的行为)</w:t>
      </w:r>
      <w:r>
        <w:rPr>
          <w:rFonts w:ascii="宋体" w:hAnsi="宋体" w:cs="宋体"/>
          <w:sz w:val="24"/>
          <w:szCs w:val="24"/>
          <w:highlight w:val="none"/>
        </w:rPr>
        <w:t xml:space="preserve"> </w:t>
      </w:r>
      <w:r>
        <w:rPr>
          <w:rFonts w:ascii="宋体" w:hAnsi="宋体" w:cs="宋体"/>
          <w:spacing w:val="-3"/>
          <w:sz w:val="24"/>
          <w:szCs w:val="24"/>
          <w:highlight w:val="none"/>
        </w:rPr>
        <w:t>或者欺诈行为(即：以谎报事实或者隐瞒真相的方法来影响对方当事人在合</w:t>
      </w:r>
      <w:r>
        <w:rPr>
          <w:rFonts w:ascii="宋体" w:hAnsi="宋体" w:cs="宋体"/>
          <w:spacing w:val="-2"/>
          <w:sz w:val="24"/>
          <w:szCs w:val="24"/>
          <w:highlight w:val="none"/>
        </w:rPr>
        <w:t>同</w:t>
      </w:r>
      <w:r>
        <w:rPr>
          <w:rFonts w:ascii="宋体" w:hAnsi="宋体" w:cs="宋体"/>
          <w:sz w:val="24"/>
          <w:szCs w:val="24"/>
          <w:highlight w:val="none"/>
        </w:rPr>
        <w:t>签</w:t>
      </w:r>
      <w:r>
        <w:rPr>
          <w:rFonts w:ascii="宋体" w:hAnsi="宋体" w:cs="宋体"/>
          <w:spacing w:val="2"/>
          <w:sz w:val="24"/>
          <w:szCs w:val="24"/>
          <w:highlight w:val="none"/>
        </w:rPr>
        <w:t>订、履行过程中的行为)的，对方当事人可以书</w:t>
      </w:r>
      <w:r>
        <w:rPr>
          <w:rFonts w:ascii="宋体" w:hAnsi="宋体" w:cs="宋体"/>
          <w:spacing w:val="1"/>
          <w:sz w:val="24"/>
          <w:szCs w:val="24"/>
          <w:highlight w:val="none"/>
        </w:rPr>
        <w:t>面通知违约方解除本合同；</w:t>
      </w:r>
    </w:p>
    <w:p w14:paraId="55A25D8B">
      <w:pPr>
        <w:spacing w:line="360" w:lineRule="auto"/>
        <w:ind w:left="37" w:right="224"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6.4 任何一方按照前述约定要求违约方支付违约金的同时，仍有权要求违</w:t>
      </w:r>
      <w:r>
        <w:rPr>
          <w:rFonts w:ascii="宋体" w:hAnsi="宋体" w:cs="宋体"/>
          <w:sz w:val="24"/>
          <w:szCs w:val="24"/>
          <w:highlight w:val="none"/>
        </w:rPr>
        <w:t xml:space="preserve"> </w:t>
      </w:r>
      <w:r>
        <w:rPr>
          <w:rFonts w:ascii="宋体" w:hAnsi="宋体" w:cs="宋体"/>
          <w:spacing w:val="-12"/>
          <w:sz w:val="24"/>
          <w:szCs w:val="24"/>
          <w:highlight w:val="none"/>
        </w:rPr>
        <w:t>约</w:t>
      </w:r>
      <w:r>
        <w:rPr>
          <w:rFonts w:ascii="宋体" w:hAnsi="宋体" w:cs="宋体"/>
          <w:spacing w:val="-8"/>
          <w:sz w:val="24"/>
          <w:szCs w:val="24"/>
          <w:highlight w:val="none"/>
        </w:rPr>
        <w:t>方</w:t>
      </w:r>
      <w:r>
        <w:rPr>
          <w:rFonts w:ascii="宋体" w:hAnsi="宋体" w:cs="宋体"/>
          <w:spacing w:val="-6"/>
          <w:sz w:val="24"/>
          <w:szCs w:val="24"/>
          <w:highlight w:val="none"/>
        </w:rPr>
        <w:t>继续履行合同、采取补救措施，并有权按照己方实际损失情况要求违约方赔</w:t>
      </w:r>
      <w:r>
        <w:rPr>
          <w:rFonts w:ascii="宋体" w:hAnsi="宋体" w:cs="宋体"/>
          <w:spacing w:val="-18"/>
          <w:sz w:val="24"/>
          <w:szCs w:val="24"/>
          <w:highlight w:val="none"/>
        </w:rPr>
        <w:t>偿</w:t>
      </w:r>
      <w:r>
        <w:rPr>
          <w:rFonts w:ascii="宋体" w:hAnsi="宋体" w:cs="宋体"/>
          <w:spacing w:val="-12"/>
          <w:sz w:val="24"/>
          <w:szCs w:val="24"/>
          <w:highlight w:val="none"/>
        </w:rPr>
        <w:t>损</w:t>
      </w:r>
      <w:r>
        <w:rPr>
          <w:rFonts w:ascii="宋体" w:hAnsi="宋体" w:cs="宋体"/>
          <w:spacing w:val="-9"/>
          <w:sz w:val="24"/>
          <w:szCs w:val="24"/>
          <w:highlight w:val="none"/>
        </w:rPr>
        <w:t>失；任何一方按照前述约定要求解除本合同的同时，仍有权要求违约方支付</w:t>
      </w:r>
      <w:r>
        <w:rPr>
          <w:rFonts w:ascii="宋体" w:hAnsi="宋体" w:cs="宋体"/>
          <w:spacing w:val="-12"/>
          <w:sz w:val="24"/>
          <w:szCs w:val="24"/>
          <w:highlight w:val="none"/>
        </w:rPr>
        <w:t>违</w:t>
      </w:r>
      <w:r>
        <w:rPr>
          <w:rFonts w:ascii="宋体" w:hAnsi="宋体" w:cs="宋体"/>
          <w:spacing w:val="-7"/>
          <w:sz w:val="24"/>
          <w:szCs w:val="24"/>
          <w:highlight w:val="none"/>
        </w:rPr>
        <w:t>约</w:t>
      </w:r>
      <w:r>
        <w:rPr>
          <w:rFonts w:ascii="宋体" w:hAnsi="宋体" w:cs="宋体"/>
          <w:spacing w:val="-6"/>
          <w:sz w:val="24"/>
          <w:szCs w:val="24"/>
          <w:highlight w:val="none"/>
        </w:rPr>
        <w:t>金和按照己方实际损失情况要求违约方赔偿损失；且守约方行使的任何权利</w:t>
      </w:r>
      <w:r>
        <w:rPr>
          <w:rFonts w:ascii="宋体" w:hAnsi="宋体" w:cs="宋体"/>
          <w:spacing w:val="-4"/>
          <w:sz w:val="24"/>
          <w:szCs w:val="24"/>
          <w:highlight w:val="none"/>
        </w:rPr>
        <w:t>救济方</w:t>
      </w:r>
      <w:r>
        <w:rPr>
          <w:rFonts w:ascii="宋体" w:hAnsi="宋体" w:cs="宋体"/>
          <w:spacing w:val="-3"/>
          <w:sz w:val="24"/>
          <w:szCs w:val="24"/>
          <w:highlight w:val="none"/>
        </w:rPr>
        <w:t>式</w:t>
      </w:r>
      <w:r>
        <w:rPr>
          <w:rFonts w:ascii="宋体" w:hAnsi="宋体" w:cs="宋体"/>
          <w:spacing w:val="-2"/>
          <w:sz w:val="24"/>
          <w:szCs w:val="24"/>
          <w:highlight w:val="none"/>
        </w:rPr>
        <w:t>均不视为其放弃了其他法定或者约定的权利救济方式；</w:t>
      </w:r>
    </w:p>
    <w:p w14:paraId="78454AE8">
      <w:pPr>
        <w:spacing w:line="365" w:lineRule="auto"/>
        <w:ind w:left="37" w:right="165" w:firstLine="453"/>
        <w:rPr>
          <w:rFonts w:ascii="宋体" w:hAnsi="宋体" w:cs="宋体"/>
          <w:sz w:val="24"/>
          <w:szCs w:val="24"/>
          <w:highlight w:val="none"/>
        </w:rPr>
      </w:pPr>
      <w:r>
        <w:rPr>
          <w:rFonts w:ascii="宋体" w:hAnsi="宋体" w:cs="宋体"/>
          <w:spacing w:val="-30"/>
          <w:sz w:val="24"/>
          <w:szCs w:val="24"/>
          <w:highlight w:val="none"/>
        </w:rPr>
        <w:t>1</w:t>
      </w:r>
      <w:r>
        <w:rPr>
          <w:rFonts w:ascii="宋体" w:hAnsi="宋体" w:cs="宋体"/>
          <w:spacing w:val="-27"/>
          <w:sz w:val="24"/>
          <w:szCs w:val="24"/>
          <w:highlight w:val="none"/>
        </w:rPr>
        <w:t>.</w:t>
      </w:r>
      <w:r>
        <w:rPr>
          <w:rFonts w:ascii="宋体" w:hAnsi="宋体" w:cs="宋体"/>
          <w:spacing w:val="-15"/>
          <w:sz w:val="24"/>
          <w:szCs w:val="24"/>
          <w:highlight w:val="none"/>
        </w:rPr>
        <w:t>6.5 除前述约定外， 除不可抗力外</w:t>
      </w:r>
      <w:r>
        <w:rPr>
          <w:rFonts w:hint="eastAsia" w:ascii="宋体" w:hAnsi="宋体" w:cs="宋体"/>
          <w:spacing w:val="-15"/>
          <w:sz w:val="24"/>
          <w:szCs w:val="24"/>
          <w:highlight w:val="none"/>
        </w:rPr>
        <w:t>，</w:t>
      </w:r>
      <w:r>
        <w:rPr>
          <w:rFonts w:ascii="宋体" w:hAnsi="宋体" w:cs="宋体"/>
          <w:spacing w:val="-15"/>
          <w:sz w:val="24"/>
          <w:szCs w:val="24"/>
          <w:highlight w:val="none"/>
        </w:rPr>
        <w:t xml:space="preserve"> 任何一方未能履行本合同约定的义务，</w:t>
      </w:r>
      <w:r>
        <w:rPr>
          <w:rFonts w:ascii="宋体" w:hAnsi="宋体" w:cs="宋体"/>
          <w:spacing w:val="-12"/>
          <w:sz w:val="24"/>
          <w:szCs w:val="24"/>
          <w:highlight w:val="none"/>
        </w:rPr>
        <w:t>对</w:t>
      </w:r>
      <w:r>
        <w:rPr>
          <w:rFonts w:ascii="宋体" w:hAnsi="宋体" w:cs="宋体"/>
          <w:spacing w:val="-9"/>
          <w:sz w:val="24"/>
          <w:szCs w:val="24"/>
          <w:highlight w:val="none"/>
        </w:rPr>
        <w:t>方</w:t>
      </w:r>
      <w:r>
        <w:rPr>
          <w:rFonts w:ascii="宋体" w:hAnsi="宋体" w:cs="宋体"/>
          <w:spacing w:val="-6"/>
          <w:sz w:val="24"/>
          <w:szCs w:val="24"/>
          <w:highlight w:val="none"/>
        </w:rPr>
        <w:t>当事人均有权要求继续履行、采取补救措施或者赔偿损失等， 且对方当事人</w:t>
      </w:r>
      <w:r>
        <w:rPr>
          <w:rFonts w:ascii="宋体" w:hAnsi="宋体" w:cs="宋体"/>
          <w:spacing w:val="-2"/>
          <w:sz w:val="24"/>
          <w:szCs w:val="24"/>
          <w:highlight w:val="none"/>
        </w:rPr>
        <w:t>行使的任何权利救</w:t>
      </w:r>
      <w:r>
        <w:rPr>
          <w:rFonts w:ascii="宋体" w:hAnsi="宋体" w:cs="宋体"/>
          <w:spacing w:val="-1"/>
          <w:sz w:val="24"/>
          <w:szCs w:val="24"/>
          <w:highlight w:val="none"/>
        </w:rPr>
        <w:t>济方式均不视为其放弃了其他法定或者约定的权利救济方式；</w:t>
      </w:r>
    </w:p>
    <w:p w14:paraId="17621E4E">
      <w:pPr>
        <w:rPr>
          <w:highlight w:val="none"/>
        </w:rPr>
        <w:sectPr>
          <w:headerReference r:id="rId6" w:type="default"/>
          <w:footerReference r:id="rId7" w:type="default"/>
          <w:pgSz w:w="11907" w:h="16839"/>
          <w:pgMar w:top="1118" w:right="1575" w:bottom="1233" w:left="1771" w:header="877" w:footer="982" w:gutter="0"/>
          <w:pgNumType w:fmt="decimal"/>
          <w:cols w:space="720" w:num="1"/>
        </w:sectPr>
      </w:pPr>
    </w:p>
    <w:p w14:paraId="60EB504C">
      <w:pPr>
        <w:spacing w:line="354" w:lineRule="auto"/>
        <w:rPr>
          <w:highlight w:val="none"/>
        </w:rPr>
      </w:pPr>
    </w:p>
    <w:p w14:paraId="25377CEC">
      <w:pPr>
        <w:spacing w:before="78" w:line="360" w:lineRule="auto"/>
        <w:ind w:left="41" w:right="183" w:firstLine="448"/>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w:t>
      </w:r>
      <w:r>
        <w:rPr>
          <w:rFonts w:ascii="宋体" w:hAnsi="宋体" w:cs="宋体"/>
          <w:spacing w:val="-2"/>
          <w:sz w:val="24"/>
          <w:szCs w:val="24"/>
          <w:highlight w:val="none"/>
        </w:rPr>
        <w:t>6.6 如果出现政府采购监督管理部门在处理投诉事项期间，书面通知甲方</w:t>
      </w:r>
      <w:r>
        <w:rPr>
          <w:rFonts w:ascii="宋体" w:hAnsi="宋体" w:cs="宋体"/>
          <w:sz w:val="24"/>
          <w:szCs w:val="24"/>
          <w:highlight w:val="none"/>
        </w:rPr>
        <w:t xml:space="preserve"> </w:t>
      </w:r>
      <w:r>
        <w:rPr>
          <w:rFonts w:ascii="宋体" w:hAnsi="宋体" w:cs="宋体"/>
          <w:spacing w:val="-18"/>
          <w:sz w:val="24"/>
          <w:szCs w:val="24"/>
          <w:highlight w:val="none"/>
        </w:rPr>
        <w:t>暂</w:t>
      </w:r>
      <w:r>
        <w:rPr>
          <w:rFonts w:ascii="宋体" w:hAnsi="宋体" w:cs="宋体"/>
          <w:spacing w:val="-17"/>
          <w:sz w:val="24"/>
          <w:szCs w:val="24"/>
          <w:highlight w:val="none"/>
        </w:rPr>
        <w:t>停</w:t>
      </w:r>
      <w:r>
        <w:rPr>
          <w:rFonts w:ascii="宋体" w:hAnsi="宋体" w:cs="宋体"/>
          <w:spacing w:val="-9"/>
          <w:sz w:val="24"/>
          <w:szCs w:val="24"/>
          <w:highlight w:val="none"/>
        </w:rPr>
        <w:t>采购活动的情形，或者询问或质疑事项可能影响成交结果的，导致甲方中止</w:t>
      </w:r>
      <w:r>
        <w:rPr>
          <w:rFonts w:ascii="宋体" w:hAnsi="宋体" w:cs="宋体"/>
          <w:spacing w:val="-4"/>
          <w:sz w:val="24"/>
          <w:szCs w:val="24"/>
          <w:highlight w:val="none"/>
        </w:rPr>
        <w:t>履行合同的情</w:t>
      </w:r>
      <w:r>
        <w:rPr>
          <w:rFonts w:ascii="宋体" w:hAnsi="宋体" w:cs="宋体"/>
          <w:spacing w:val="-2"/>
          <w:sz w:val="24"/>
          <w:szCs w:val="24"/>
          <w:highlight w:val="none"/>
        </w:rPr>
        <w:t>形，均不视为甲方违约。</w:t>
      </w:r>
    </w:p>
    <w:p w14:paraId="114D7C0F">
      <w:pPr>
        <w:spacing w:line="219" w:lineRule="auto"/>
        <w:ind w:left="492"/>
        <w:outlineLvl w:val="0"/>
        <w:rPr>
          <w:rFonts w:ascii="宋体" w:hAnsi="宋体" w:cs="宋体"/>
          <w:sz w:val="24"/>
          <w:szCs w:val="24"/>
          <w:highlight w:val="none"/>
        </w:rPr>
      </w:pPr>
      <w:r>
        <w:rPr>
          <w:rFonts w:ascii="宋体" w:hAnsi="宋体" w:cs="宋体"/>
          <w:spacing w:val="-8"/>
          <w:sz w:val="24"/>
          <w:szCs w:val="24"/>
          <w:highlight w:val="none"/>
        </w:rPr>
        <w:t>1</w:t>
      </w:r>
      <w:r>
        <w:rPr>
          <w:rFonts w:ascii="宋体" w:hAnsi="宋体" w:cs="宋体"/>
          <w:spacing w:val="-7"/>
          <w:sz w:val="24"/>
          <w:szCs w:val="24"/>
          <w:highlight w:val="none"/>
        </w:rPr>
        <w:t>.7 合同争议的解决</w:t>
      </w:r>
    </w:p>
    <w:p w14:paraId="194ADD9D">
      <w:pPr>
        <w:spacing w:before="182" w:line="360" w:lineRule="auto"/>
        <w:ind w:left="41" w:firstLine="431"/>
        <w:rPr>
          <w:rFonts w:ascii="宋体" w:hAnsi="宋体" w:cs="宋体"/>
          <w:sz w:val="24"/>
          <w:szCs w:val="24"/>
          <w:highlight w:val="none"/>
        </w:rPr>
      </w:pPr>
      <w:r>
        <w:rPr>
          <w:rFonts w:ascii="宋体" w:hAnsi="宋体" w:cs="宋体"/>
          <w:spacing w:val="-12"/>
          <w:sz w:val="24"/>
          <w:szCs w:val="24"/>
          <w:highlight w:val="none"/>
        </w:rPr>
        <w:t>本合同履</w:t>
      </w:r>
      <w:r>
        <w:rPr>
          <w:rFonts w:ascii="宋体" w:hAnsi="宋体" w:cs="宋体"/>
          <w:spacing w:val="-6"/>
          <w:sz w:val="24"/>
          <w:szCs w:val="24"/>
          <w:highlight w:val="none"/>
        </w:rPr>
        <w:t>行过程中发生的任何争议，双方当事人均可通过和解或者调解解决；</w:t>
      </w:r>
      <w:r>
        <w:rPr>
          <w:rFonts w:ascii="宋体" w:hAnsi="宋体" w:cs="宋体"/>
          <w:sz w:val="24"/>
          <w:szCs w:val="24"/>
          <w:highlight w:val="none"/>
        </w:rPr>
        <w:t xml:space="preserve"> </w:t>
      </w:r>
      <w:r>
        <w:rPr>
          <w:rFonts w:ascii="宋体" w:hAnsi="宋体" w:cs="宋体"/>
          <w:spacing w:val="-4"/>
          <w:sz w:val="24"/>
          <w:szCs w:val="24"/>
          <w:highlight w:val="none"/>
        </w:rPr>
        <w:t>不愿</w:t>
      </w:r>
      <w:r>
        <w:rPr>
          <w:rFonts w:ascii="宋体" w:hAnsi="宋体" w:cs="宋体"/>
          <w:spacing w:val="-3"/>
          <w:sz w:val="24"/>
          <w:szCs w:val="24"/>
          <w:highlight w:val="none"/>
        </w:rPr>
        <w:t>和</w:t>
      </w:r>
      <w:r>
        <w:rPr>
          <w:rFonts w:ascii="宋体" w:hAnsi="宋体" w:cs="宋体"/>
          <w:spacing w:val="-2"/>
          <w:sz w:val="24"/>
          <w:szCs w:val="24"/>
          <w:highlight w:val="none"/>
        </w:rPr>
        <w:t>解、调解或者和解、调解不成的，可以选择下列</w:t>
      </w:r>
      <w:r>
        <w:rPr>
          <w:rFonts w:hint="eastAsia" w:ascii="宋体" w:hAnsi="宋体" w:cs="宋体"/>
          <w:spacing w:val="-2"/>
          <w:sz w:val="24"/>
          <w:szCs w:val="24"/>
          <w:highlight w:val="none"/>
          <w:u w:val="single"/>
        </w:rPr>
        <w:t xml:space="preserve">    </w:t>
      </w:r>
      <w:r>
        <w:rPr>
          <w:rFonts w:ascii="宋体" w:hAnsi="宋体" w:cs="宋体"/>
          <w:spacing w:val="-2"/>
          <w:sz w:val="24"/>
          <w:szCs w:val="24"/>
          <w:highlight w:val="none"/>
        </w:rPr>
        <w:t>种方式解决：</w:t>
      </w:r>
    </w:p>
    <w:p w14:paraId="015F1F92">
      <w:pPr>
        <w:spacing w:before="1" w:line="215" w:lineRule="auto"/>
        <w:ind w:left="490"/>
        <w:rPr>
          <w:rFonts w:ascii="宋体" w:hAnsi="宋体" w:cs="宋体"/>
          <w:sz w:val="24"/>
          <w:szCs w:val="24"/>
          <w:highlight w:val="none"/>
        </w:rPr>
      </w:pPr>
      <w:r>
        <w:rPr>
          <w:rFonts w:ascii="宋体" w:hAnsi="宋体" w:cs="宋体"/>
          <w:spacing w:val="-6"/>
          <w:sz w:val="24"/>
          <w:szCs w:val="24"/>
          <w:highlight w:val="none"/>
        </w:rPr>
        <w:t>1</w:t>
      </w:r>
      <w:r>
        <w:rPr>
          <w:rFonts w:ascii="宋体" w:hAnsi="宋体" w:cs="宋体"/>
          <w:spacing w:val="-4"/>
          <w:sz w:val="24"/>
          <w:szCs w:val="24"/>
          <w:highlight w:val="none"/>
        </w:rPr>
        <w:t>.7.1 将争议提交仲裁委员会依申请仲裁时其现行有效的仲裁规则裁决；</w:t>
      </w:r>
    </w:p>
    <w:p w14:paraId="0B19AC36">
      <w:pPr>
        <w:spacing w:before="187" w:line="220" w:lineRule="auto"/>
        <w:ind w:left="490"/>
        <w:rPr>
          <w:rFonts w:ascii="宋体" w:hAnsi="宋体" w:cs="宋体"/>
          <w:sz w:val="24"/>
          <w:szCs w:val="24"/>
          <w:highlight w:val="none"/>
        </w:rPr>
      </w:pPr>
      <w:r>
        <w:rPr>
          <w:rFonts w:ascii="宋体" w:hAnsi="宋体" w:cs="宋体"/>
          <w:spacing w:val="-10"/>
          <w:sz w:val="24"/>
          <w:szCs w:val="24"/>
          <w:highlight w:val="none"/>
        </w:rPr>
        <w:t>1</w:t>
      </w:r>
      <w:r>
        <w:rPr>
          <w:rFonts w:ascii="宋体" w:hAnsi="宋体" w:cs="宋体"/>
          <w:spacing w:val="-8"/>
          <w:sz w:val="24"/>
          <w:szCs w:val="24"/>
          <w:highlight w:val="none"/>
        </w:rPr>
        <w:t>.7.2 向</w:t>
      </w:r>
      <w:r>
        <w:rPr>
          <w:rFonts w:hint="eastAsia" w:ascii="宋体" w:hAnsi="宋体" w:cs="宋体"/>
          <w:spacing w:val="-8"/>
          <w:sz w:val="24"/>
          <w:szCs w:val="24"/>
          <w:highlight w:val="none"/>
        </w:rPr>
        <w:t xml:space="preserve"> </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人民法院起诉。</w:t>
      </w:r>
    </w:p>
    <w:p w14:paraId="5C248987">
      <w:pPr>
        <w:spacing w:before="183" w:line="220" w:lineRule="auto"/>
        <w:ind w:left="492"/>
        <w:outlineLvl w:val="0"/>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8</w:t>
      </w:r>
      <w:r>
        <w:rPr>
          <w:rFonts w:ascii="宋体" w:hAnsi="宋体" w:cs="宋体"/>
          <w:spacing w:val="-2"/>
          <w:sz w:val="24"/>
          <w:szCs w:val="24"/>
          <w:highlight w:val="none"/>
        </w:rPr>
        <w:t xml:space="preserve"> 合同生效</w:t>
      </w:r>
    </w:p>
    <w:p w14:paraId="7C7508FE">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w:t>
      </w:r>
      <w:r>
        <w:rPr>
          <w:rFonts w:ascii="宋体" w:hAnsi="宋体" w:cs="宋体"/>
          <w:spacing w:val="-2"/>
          <w:sz w:val="24"/>
          <w:szCs w:val="24"/>
          <w:highlight w:val="none"/>
        </w:rPr>
        <w:t>同自双方当事人盖章时生效。</w:t>
      </w:r>
    </w:p>
    <w:p w14:paraId="3FE50B83">
      <w:pPr>
        <w:spacing w:line="271" w:lineRule="auto"/>
        <w:rPr>
          <w:highlight w:val="none"/>
        </w:rPr>
      </w:pPr>
    </w:p>
    <w:p w14:paraId="4B7B4E06">
      <w:pPr>
        <w:spacing w:line="272" w:lineRule="auto"/>
        <w:rPr>
          <w:highlight w:val="none"/>
        </w:rPr>
      </w:pPr>
    </w:p>
    <w:p w14:paraId="1619B7A7">
      <w:pPr>
        <w:spacing w:line="272" w:lineRule="auto"/>
        <w:rPr>
          <w:highlight w:val="none"/>
        </w:rPr>
      </w:pPr>
    </w:p>
    <w:p w14:paraId="232E4A5F">
      <w:pPr>
        <w:spacing w:line="272" w:lineRule="auto"/>
        <w:rPr>
          <w:highlight w:val="none"/>
        </w:rPr>
      </w:pPr>
    </w:p>
    <w:p w14:paraId="1A402A1A">
      <w:pPr>
        <w:spacing w:line="272" w:lineRule="auto"/>
        <w:rPr>
          <w:highlight w:val="none"/>
        </w:rPr>
      </w:pPr>
    </w:p>
    <w:p w14:paraId="5FDBA4C8">
      <w:pPr>
        <w:spacing w:line="272" w:lineRule="auto"/>
        <w:rPr>
          <w:highlight w:val="none"/>
        </w:rPr>
      </w:pPr>
    </w:p>
    <w:p w14:paraId="617068DE">
      <w:pPr>
        <w:spacing w:line="272" w:lineRule="auto"/>
        <w:rPr>
          <w:highlight w:val="none"/>
        </w:rPr>
      </w:pPr>
    </w:p>
    <w:p w14:paraId="4AE6E1AB">
      <w:pPr>
        <w:spacing w:before="79" w:line="219" w:lineRule="auto"/>
        <w:ind w:left="69"/>
        <w:rPr>
          <w:rFonts w:ascii="宋体" w:hAnsi="宋体" w:cs="宋体"/>
          <w:sz w:val="24"/>
          <w:szCs w:val="24"/>
          <w:highlight w:val="none"/>
        </w:rPr>
      </w:pPr>
      <w:r>
        <w:rPr>
          <w:rFonts w:ascii="宋体" w:hAnsi="宋体" w:cs="宋体"/>
          <w:spacing w:val="-12"/>
          <w:sz w:val="24"/>
          <w:szCs w:val="24"/>
          <w:highlight w:val="none"/>
        </w:rPr>
        <w:t xml:space="preserve">甲 </w:t>
      </w:r>
      <w:r>
        <w:rPr>
          <w:rFonts w:ascii="宋体" w:hAnsi="宋体" w:cs="宋体"/>
          <w:spacing w:val="-8"/>
          <w:sz w:val="24"/>
          <w:szCs w:val="24"/>
          <w:highlight w:val="none"/>
        </w:rPr>
        <w:t>方</w:t>
      </w:r>
      <w:r>
        <w:rPr>
          <w:rFonts w:ascii="宋体" w:hAnsi="宋体" w:cs="宋体"/>
          <w:spacing w:val="-6"/>
          <w:sz w:val="24"/>
          <w:szCs w:val="24"/>
          <w:highlight w:val="none"/>
        </w:rPr>
        <w:t xml:space="preserve">： </w:t>
      </w:r>
      <w:r>
        <w:rPr>
          <w:rFonts w:ascii="宋体" w:hAnsi="宋体" w:cs="宋体"/>
          <w:spacing w:val="-6"/>
          <w:sz w:val="24"/>
          <w:szCs w:val="24"/>
          <w:highlight w:val="none"/>
          <w:u w:val="single"/>
        </w:rPr>
        <w:t xml:space="preserve">     (单位盖章)      </w:t>
      </w:r>
      <w:r>
        <w:rPr>
          <w:rFonts w:ascii="宋体" w:hAnsi="宋体" w:cs="宋体"/>
          <w:spacing w:val="-6"/>
          <w:sz w:val="24"/>
          <w:szCs w:val="24"/>
          <w:highlight w:val="none"/>
        </w:rPr>
        <w:t xml:space="preserve">          乙方： </w:t>
      </w:r>
      <w:r>
        <w:rPr>
          <w:rFonts w:ascii="宋体" w:hAnsi="宋体" w:cs="宋体"/>
          <w:spacing w:val="-6"/>
          <w:sz w:val="24"/>
          <w:szCs w:val="24"/>
          <w:highlight w:val="none"/>
          <w:u w:val="single"/>
        </w:rPr>
        <w:t xml:space="preserve">     (单位盖章)</w:t>
      </w:r>
      <w:r>
        <w:rPr>
          <w:rFonts w:ascii="宋体" w:hAnsi="宋体" w:cs="宋体"/>
          <w:sz w:val="24"/>
          <w:szCs w:val="24"/>
          <w:highlight w:val="none"/>
          <w:u w:val="single"/>
        </w:rPr>
        <w:t xml:space="preserve">      </w:t>
      </w:r>
    </w:p>
    <w:p w14:paraId="1A268FC7">
      <w:pPr>
        <w:spacing w:line="227" w:lineRule="exact"/>
        <w:rPr>
          <w:highlight w:val="none"/>
        </w:rPr>
      </w:pPr>
    </w:p>
    <w:p w14:paraId="5577F89B">
      <w:pPr>
        <w:rPr>
          <w:highlight w:val="none"/>
        </w:rPr>
        <w:sectPr>
          <w:headerReference r:id="rId8" w:type="default"/>
          <w:footerReference r:id="rId9" w:type="default"/>
          <w:pgSz w:w="11907" w:h="16839"/>
          <w:pgMar w:top="1118" w:right="1614" w:bottom="1233" w:left="1771" w:header="877" w:footer="982" w:gutter="0"/>
          <w:pgNumType w:fmt="decimal"/>
          <w:cols w:equalWidth="0" w:num="1">
            <w:col w:w="8520"/>
          </w:cols>
        </w:sectPr>
      </w:pPr>
    </w:p>
    <w:p w14:paraId="0FE0CA6E">
      <w:pPr>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BDDA7A5">
      <w:pPr>
        <w:rPr>
          <w:rFonts w:ascii="宋体" w:hAnsi="宋体" w:cs="宋体"/>
          <w:spacing w:val="9"/>
          <w:position w:val="24"/>
          <w:sz w:val="24"/>
          <w:szCs w:val="24"/>
          <w:highlight w:val="none"/>
        </w:rPr>
      </w:pPr>
      <w:r>
        <w:rPr>
          <w:rFonts w:ascii="宋体" w:hAnsi="宋体" w:cs="宋体"/>
          <w:spacing w:val="10"/>
          <w:position w:val="24"/>
          <w:sz w:val="24"/>
          <w:szCs w:val="24"/>
          <w:highlight w:val="none"/>
        </w:rPr>
        <w:t>或</w:t>
      </w:r>
      <w:r>
        <w:rPr>
          <w:rFonts w:ascii="宋体" w:hAnsi="宋体" w:cs="宋体"/>
          <w:spacing w:val="9"/>
          <w:position w:val="24"/>
          <w:sz w:val="24"/>
          <w:szCs w:val="24"/>
          <w:highlight w:val="none"/>
        </w:rPr>
        <w:t>授权代表(签字)</w:t>
      </w:r>
    </w:p>
    <w:p w14:paraId="2012EE9C">
      <w:pPr>
        <w:rPr>
          <w:sz w:val="2"/>
          <w:highlight w:val="none"/>
        </w:rPr>
      </w:pPr>
      <w:r>
        <w:rPr>
          <w:rFonts w:hint="eastAsia" w:ascii="宋体" w:hAnsi="宋体" w:cs="宋体"/>
          <w:spacing w:val="-3"/>
          <w:sz w:val="24"/>
          <w:szCs w:val="24"/>
          <w:highlight w:val="none"/>
        </w:rPr>
        <w:t xml:space="preserve">时间：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r>
        <w:rPr>
          <w:rFonts w:eastAsia="Arial"/>
          <w:sz w:val="2"/>
          <w:szCs w:val="2"/>
          <w:highlight w:val="none"/>
        </w:rPr>
        <w:br w:type="column"/>
      </w:r>
    </w:p>
    <w:p w14:paraId="4D919266">
      <w:pPr>
        <w:ind w:firstLine="472" w:firstLineChars="200"/>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A124A3B">
      <w:pPr>
        <w:ind w:firstLine="520" w:firstLineChars="200"/>
        <w:rPr>
          <w:rFonts w:ascii="宋体" w:hAnsi="宋体" w:cs="宋体"/>
          <w:spacing w:val="9"/>
          <w:sz w:val="24"/>
          <w:szCs w:val="24"/>
          <w:highlight w:val="none"/>
        </w:rPr>
      </w:pPr>
      <w:r>
        <w:rPr>
          <w:rFonts w:ascii="宋体" w:hAnsi="宋体" w:cs="宋体"/>
          <w:spacing w:val="10"/>
          <w:sz w:val="24"/>
          <w:szCs w:val="24"/>
          <w:highlight w:val="none"/>
        </w:rPr>
        <w:t>或</w:t>
      </w:r>
      <w:r>
        <w:rPr>
          <w:rFonts w:ascii="宋体" w:hAnsi="宋体" w:cs="宋体"/>
          <w:spacing w:val="9"/>
          <w:sz w:val="24"/>
          <w:szCs w:val="24"/>
          <w:highlight w:val="none"/>
        </w:rPr>
        <w:t>授权代表(签字)：</w:t>
      </w:r>
    </w:p>
    <w:p w14:paraId="2A28B96F">
      <w:pPr>
        <w:rPr>
          <w:rFonts w:ascii="宋体" w:hAnsi="宋体" w:cs="宋体"/>
          <w:sz w:val="24"/>
          <w:szCs w:val="24"/>
          <w:highlight w:val="none"/>
        </w:rPr>
      </w:pPr>
      <w:r>
        <w:rPr>
          <w:rFonts w:hint="eastAsia" w:ascii="宋体" w:hAnsi="宋体" w:cs="宋体"/>
          <w:spacing w:val="-3"/>
          <w:sz w:val="24"/>
          <w:szCs w:val="24"/>
          <w:highlight w:val="none"/>
        </w:rPr>
        <w:t xml:space="preserve">    时间</w:t>
      </w:r>
      <w:r>
        <w:rPr>
          <w:rFonts w:ascii="宋体" w:hAnsi="宋体" w:cs="宋体"/>
          <w:spacing w:val="-3"/>
          <w:sz w:val="24"/>
          <w:szCs w:val="24"/>
          <w:highlight w:val="none"/>
        </w:rPr>
        <w:t>：</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p>
    <w:p w14:paraId="1529936F">
      <w:pPr>
        <w:rPr>
          <w:highlight w:val="none"/>
        </w:rPr>
        <w:sectPr>
          <w:type w:val="continuous"/>
          <w:pgSz w:w="11907" w:h="16839"/>
          <w:pgMar w:top="1118" w:right="1614" w:bottom="1233" w:left="1771" w:header="877" w:footer="982" w:gutter="0"/>
          <w:pgNumType w:fmt="decimal"/>
          <w:cols w:equalWidth="0" w:num="2">
            <w:col w:w="3190" w:space="100"/>
            <w:col w:w="5230"/>
          </w:cols>
        </w:sectPr>
      </w:pPr>
    </w:p>
    <w:p w14:paraId="641D0875">
      <w:pPr>
        <w:spacing w:line="354" w:lineRule="auto"/>
        <w:rPr>
          <w:highlight w:val="none"/>
        </w:rPr>
      </w:pPr>
    </w:p>
    <w:p w14:paraId="07DFA6F5">
      <w:pPr>
        <w:spacing w:before="78" w:line="220" w:lineRule="auto"/>
        <w:ind w:left="2985"/>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二部分合同一般条款</w:t>
      </w:r>
    </w:p>
    <w:p w14:paraId="089A2208">
      <w:pPr>
        <w:spacing w:before="182" w:line="220" w:lineRule="auto"/>
        <w:ind w:left="477"/>
        <w:outlineLvl w:val="0"/>
        <w:rPr>
          <w:rFonts w:ascii="宋体" w:hAnsi="宋体" w:cs="宋体"/>
          <w:sz w:val="24"/>
          <w:szCs w:val="24"/>
          <w:highlight w:val="none"/>
        </w:rPr>
      </w:pPr>
      <w:r>
        <w:rPr>
          <w:rFonts w:ascii="宋体" w:hAnsi="宋体" w:cs="宋体"/>
          <w:sz w:val="24"/>
          <w:szCs w:val="24"/>
          <w:highlight w:val="none"/>
        </w:rPr>
        <w:t>2.1 定义</w:t>
      </w:r>
    </w:p>
    <w:p w14:paraId="1A71CC6F">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本合同</w:t>
      </w:r>
      <w:r>
        <w:rPr>
          <w:rFonts w:ascii="宋体" w:hAnsi="宋体" w:cs="宋体"/>
          <w:spacing w:val="-3"/>
          <w:sz w:val="24"/>
          <w:szCs w:val="24"/>
          <w:highlight w:val="none"/>
        </w:rPr>
        <w:t>中</w:t>
      </w:r>
      <w:r>
        <w:rPr>
          <w:rFonts w:ascii="宋体" w:hAnsi="宋体" w:cs="宋体"/>
          <w:spacing w:val="-2"/>
          <w:sz w:val="24"/>
          <w:szCs w:val="24"/>
          <w:highlight w:val="none"/>
        </w:rPr>
        <w:t>的下列词语应按以下内容进行解释：</w:t>
      </w:r>
    </w:p>
    <w:p w14:paraId="5E61AC28">
      <w:pPr>
        <w:spacing w:before="183" w:line="360" w:lineRule="auto"/>
        <w:ind w:left="40" w:right="71" w:firstLine="435"/>
        <w:rPr>
          <w:rFonts w:ascii="宋体" w:hAnsi="宋体" w:cs="宋体"/>
          <w:sz w:val="24"/>
          <w:szCs w:val="24"/>
          <w:highlight w:val="none"/>
        </w:rPr>
      </w:pPr>
      <w:r>
        <w:rPr>
          <w:rFonts w:ascii="宋体" w:hAnsi="宋体" w:cs="宋体"/>
          <w:spacing w:val="2"/>
          <w:sz w:val="24"/>
          <w:szCs w:val="24"/>
          <w:highlight w:val="none"/>
        </w:rPr>
        <w:t>2.1.1“合同”系指采购人和成交供应商签订</w:t>
      </w:r>
      <w:r>
        <w:rPr>
          <w:rFonts w:ascii="宋体" w:hAnsi="宋体" w:cs="宋体"/>
          <w:spacing w:val="1"/>
          <w:sz w:val="24"/>
          <w:szCs w:val="24"/>
          <w:highlight w:val="none"/>
        </w:rPr>
        <w:t>的载明双方当事人所达成的协</w:t>
      </w:r>
      <w:r>
        <w:rPr>
          <w:rFonts w:ascii="宋体" w:hAnsi="宋体" w:cs="宋体"/>
          <w:sz w:val="24"/>
          <w:szCs w:val="24"/>
          <w:highlight w:val="none"/>
        </w:rPr>
        <w:t xml:space="preserve"> </w:t>
      </w:r>
      <w:r>
        <w:rPr>
          <w:rFonts w:ascii="宋体" w:hAnsi="宋体" w:cs="宋体"/>
          <w:spacing w:val="-2"/>
          <w:sz w:val="24"/>
          <w:szCs w:val="24"/>
          <w:highlight w:val="none"/>
        </w:rPr>
        <w:t>议，并包括所有的附件、附录和构成合同的其他文</w:t>
      </w:r>
      <w:r>
        <w:rPr>
          <w:rFonts w:ascii="宋体" w:hAnsi="宋体" w:cs="宋体"/>
          <w:spacing w:val="-1"/>
          <w:sz w:val="24"/>
          <w:szCs w:val="24"/>
          <w:highlight w:val="none"/>
        </w:rPr>
        <w:t>件</w:t>
      </w:r>
      <w:r>
        <w:rPr>
          <w:rFonts w:ascii="宋体" w:hAnsi="宋体" w:cs="宋体"/>
          <w:sz w:val="24"/>
          <w:szCs w:val="24"/>
          <w:highlight w:val="none"/>
        </w:rPr>
        <w:t>。</w:t>
      </w:r>
    </w:p>
    <w:p w14:paraId="2D40609E">
      <w:pPr>
        <w:spacing w:line="360" w:lineRule="auto"/>
        <w:ind w:left="37" w:right="124" w:firstLine="438"/>
        <w:rPr>
          <w:rFonts w:ascii="宋体" w:hAnsi="宋体" w:cs="宋体"/>
          <w:sz w:val="24"/>
          <w:szCs w:val="24"/>
          <w:highlight w:val="none"/>
        </w:rPr>
      </w:pPr>
      <w:r>
        <w:rPr>
          <w:rFonts w:ascii="宋体" w:hAnsi="宋体" w:cs="宋体"/>
          <w:spacing w:val="1"/>
          <w:sz w:val="24"/>
          <w:szCs w:val="24"/>
          <w:highlight w:val="none"/>
        </w:rPr>
        <w:t>2.1.2</w:t>
      </w:r>
      <w:r>
        <w:rPr>
          <w:rFonts w:ascii="宋体" w:hAnsi="宋体" w:cs="宋体"/>
          <w:sz w:val="24"/>
          <w:szCs w:val="24"/>
          <w:highlight w:val="none"/>
        </w:rPr>
        <w:t xml:space="preserve">“合同价”系指根据合同约定，成交供应商在完全履行合同义务后， </w:t>
      </w:r>
      <w:r>
        <w:rPr>
          <w:rFonts w:ascii="宋体" w:hAnsi="宋体" w:cs="宋体"/>
          <w:spacing w:val="-4"/>
          <w:sz w:val="24"/>
          <w:szCs w:val="24"/>
          <w:highlight w:val="none"/>
        </w:rPr>
        <w:t>采购人应</w:t>
      </w:r>
      <w:r>
        <w:rPr>
          <w:rFonts w:ascii="宋体" w:hAnsi="宋体" w:cs="宋体"/>
          <w:spacing w:val="-3"/>
          <w:sz w:val="24"/>
          <w:szCs w:val="24"/>
          <w:highlight w:val="none"/>
        </w:rPr>
        <w:t>支</w:t>
      </w:r>
      <w:r>
        <w:rPr>
          <w:rFonts w:ascii="宋体" w:hAnsi="宋体" w:cs="宋体"/>
          <w:spacing w:val="-2"/>
          <w:sz w:val="24"/>
          <w:szCs w:val="24"/>
          <w:highlight w:val="none"/>
        </w:rPr>
        <w:t>付给成交供应商的价格。</w:t>
      </w:r>
    </w:p>
    <w:p w14:paraId="5D4B0A9D">
      <w:pPr>
        <w:spacing w:line="360" w:lineRule="auto"/>
        <w:ind w:left="37" w:right="69" w:firstLine="438"/>
        <w:rPr>
          <w:rFonts w:ascii="宋体" w:hAnsi="宋体" w:cs="宋体"/>
          <w:sz w:val="24"/>
          <w:szCs w:val="24"/>
          <w:highlight w:val="none"/>
        </w:rPr>
      </w:pPr>
      <w:r>
        <w:rPr>
          <w:rFonts w:ascii="宋体" w:hAnsi="宋体" w:cs="宋体"/>
          <w:spacing w:val="2"/>
          <w:sz w:val="24"/>
          <w:szCs w:val="24"/>
          <w:highlight w:val="none"/>
        </w:rPr>
        <w:t>2.1.3“服务”系指成交供应商根据合同约定应</w:t>
      </w:r>
      <w:r>
        <w:rPr>
          <w:rFonts w:ascii="宋体" w:hAnsi="宋体" w:cs="宋体"/>
          <w:spacing w:val="1"/>
          <w:sz w:val="24"/>
          <w:szCs w:val="24"/>
          <w:highlight w:val="none"/>
        </w:rPr>
        <w:t>向采购人履行的除货物和工</w:t>
      </w:r>
      <w:r>
        <w:rPr>
          <w:rFonts w:ascii="宋体" w:hAnsi="宋体" w:cs="宋体"/>
          <w:spacing w:val="-12"/>
          <w:sz w:val="24"/>
          <w:szCs w:val="24"/>
          <w:highlight w:val="none"/>
        </w:rPr>
        <w:t>程</w:t>
      </w:r>
      <w:r>
        <w:rPr>
          <w:rFonts w:ascii="宋体" w:hAnsi="宋体" w:cs="宋体"/>
          <w:spacing w:val="-6"/>
          <w:sz w:val="24"/>
          <w:szCs w:val="24"/>
          <w:highlight w:val="none"/>
        </w:rPr>
        <w:t>以外的其他政府采购对象， 包括采购人自身需要的服务和向社会公众提供的公</w:t>
      </w:r>
      <w:r>
        <w:rPr>
          <w:rFonts w:ascii="宋体" w:hAnsi="宋体" w:cs="宋体"/>
          <w:sz w:val="24"/>
          <w:szCs w:val="24"/>
          <w:highlight w:val="none"/>
        </w:rPr>
        <w:t xml:space="preserve"> </w:t>
      </w:r>
      <w:r>
        <w:rPr>
          <w:rFonts w:ascii="宋体" w:hAnsi="宋体" w:cs="宋体"/>
          <w:spacing w:val="-9"/>
          <w:sz w:val="24"/>
          <w:szCs w:val="24"/>
          <w:highlight w:val="none"/>
        </w:rPr>
        <w:t>共</w:t>
      </w:r>
      <w:r>
        <w:rPr>
          <w:rFonts w:ascii="宋体" w:hAnsi="宋体" w:cs="宋体"/>
          <w:spacing w:val="-8"/>
          <w:sz w:val="24"/>
          <w:szCs w:val="24"/>
          <w:highlight w:val="none"/>
        </w:rPr>
        <w:t>服务。</w:t>
      </w:r>
    </w:p>
    <w:p w14:paraId="79713236">
      <w:pPr>
        <w:spacing w:before="3" w:line="359" w:lineRule="auto"/>
        <w:ind w:left="37" w:right="79" w:firstLine="438"/>
        <w:rPr>
          <w:rFonts w:ascii="宋体" w:hAnsi="宋体" w:cs="宋体"/>
          <w:sz w:val="24"/>
          <w:szCs w:val="24"/>
          <w:highlight w:val="none"/>
        </w:rPr>
      </w:pPr>
      <w:r>
        <w:rPr>
          <w:rFonts w:ascii="宋体" w:hAnsi="宋体" w:cs="宋体"/>
          <w:spacing w:val="2"/>
          <w:sz w:val="24"/>
          <w:szCs w:val="24"/>
          <w:highlight w:val="none"/>
        </w:rPr>
        <w:t>2.1.4“甲方”系指与成交</w:t>
      </w:r>
      <w:r>
        <w:rPr>
          <w:rFonts w:ascii="宋体" w:hAnsi="宋体" w:cs="宋体"/>
          <w:spacing w:val="1"/>
          <w:sz w:val="24"/>
          <w:szCs w:val="24"/>
          <w:highlight w:val="none"/>
        </w:rPr>
        <w:t>供应商签署合同的采购人；采购人委托采购代理</w:t>
      </w:r>
      <w:r>
        <w:rPr>
          <w:rFonts w:ascii="宋体" w:hAnsi="宋体" w:cs="宋体"/>
          <w:sz w:val="24"/>
          <w:szCs w:val="24"/>
          <w:highlight w:val="none"/>
        </w:rPr>
        <w:t xml:space="preserve"> </w:t>
      </w:r>
      <w:r>
        <w:rPr>
          <w:rFonts w:ascii="宋体" w:hAnsi="宋体" w:cs="宋体"/>
          <w:spacing w:val="-2"/>
          <w:sz w:val="24"/>
          <w:szCs w:val="24"/>
          <w:highlight w:val="none"/>
        </w:rPr>
        <w:t>机构代表其与乙方签订合同</w:t>
      </w:r>
      <w:r>
        <w:rPr>
          <w:rFonts w:ascii="宋体" w:hAnsi="宋体" w:cs="宋体"/>
          <w:spacing w:val="-1"/>
          <w:sz w:val="24"/>
          <w:szCs w:val="24"/>
          <w:highlight w:val="none"/>
        </w:rPr>
        <w:t>的，采购人的授权委托书作为合同附件。</w:t>
      </w:r>
    </w:p>
    <w:p w14:paraId="60EC3F1F">
      <w:pPr>
        <w:spacing w:line="360" w:lineRule="auto"/>
        <w:ind w:left="38" w:right="70" w:firstLine="437"/>
        <w:rPr>
          <w:rFonts w:ascii="宋体" w:hAnsi="宋体" w:cs="宋体"/>
          <w:sz w:val="24"/>
          <w:szCs w:val="24"/>
          <w:highlight w:val="none"/>
        </w:rPr>
      </w:pPr>
      <w:r>
        <w:rPr>
          <w:rFonts w:ascii="宋体" w:hAnsi="宋体" w:cs="宋体"/>
          <w:spacing w:val="2"/>
          <w:sz w:val="24"/>
          <w:szCs w:val="24"/>
          <w:highlight w:val="none"/>
        </w:rPr>
        <w:t>2.1.5“乙方”系指</w:t>
      </w:r>
      <w:r>
        <w:rPr>
          <w:rFonts w:ascii="宋体" w:hAnsi="宋体" w:cs="宋体"/>
          <w:spacing w:val="1"/>
          <w:sz w:val="24"/>
          <w:szCs w:val="24"/>
          <w:highlight w:val="none"/>
        </w:rPr>
        <w:t>根据合同约定提供服务的成交供应商；两个以上的自然</w:t>
      </w:r>
      <w:r>
        <w:rPr>
          <w:rFonts w:ascii="宋体" w:hAnsi="宋体" w:cs="宋体"/>
          <w:sz w:val="24"/>
          <w:szCs w:val="24"/>
          <w:highlight w:val="none"/>
        </w:rPr>
        <w:t xml:space="preserve"> </w:t>
      </w:r>
      <w:r>
        <w:rPr>
          <w:rFonts w:ascii="宋体" w:hAnsi="宋体" w:cs="宋体"/>
          <w:spacing w:val="-12"/>
          <w:sz w:val="24"/>
          <w:szCs w:val="24"/>
          <w:highlight w:val="none"/>
        </w:rPr>
        <w:t>人</w:t>
      </w:r>
      <w:r>
        <w:rPr>
          <w:rFonts w:ascii="宋体" w:hAnsi="宋体" w:cs="宋体"/>
          <w:spacing w:val="-8"/>
          <w:sz w:val="24"/>
          <w:szCs w:val="24"/>
          <w:highlight w:val="none"/>
        </w:rPr>
        <w:t>、</w:t>
      </w:r>
      <w:r>
        <w:rPr>
          <w:rFonts w:ascii="宋体" w:hAnsi="宋体" w:cs="宋体"/>
          <w:spacing w:val="-6"/>
          <w:sz w:val="24"/>
          <w:szCs w:val="24"/>
          <w:highlight w:val="none"/>
        </w:rPr>
        <w:t>法人或者其他组织组成一个联合体， 以一个供应商的身份共同参加政府采购</w:t>
      </w:r>
      <w:r>
        <w:rPr>
          <w:rFonts w:ascii="宋体" w:hAnsi="宋体" w:cs="宋体"/>
          <w:spacing w:val="-12"/>
          <w:sz w:val="24"/>
          <w:szCs w:val="24"/>
          <w:highlight w:val="none"/>
        </w:rPr>
        <w:t>的</w:t>
      </w:r>
      <w:r>
        <w:rPr>
          <w:rFonts w:ascii="宋体" w:hAnsi="宋体" w:cs="宋体"/>
          <w:spacing w:val="-10"/>
          <w:sz w:val="24"/>
          <w:szCs w:val="24"/>
          <w:highlight w:val="none"/>
        </w:rPr>
        <w:t>，</w:t>
      </w:r>
      <w:r>
        <w:rPr>
          <w:rFonts w:ascii="宋体" w:hAnsi="宋体" w:cs="宋体"/>
          <w:spacing w:val="-6"/>
          <w:sz w:val="24"/>
          <w:szCs w:val="24"/>
          <w:highlight w:val="none"/>
        </w:rPr>
        <w:t>联合体各方均应为乙方或者与乙方相同地位的合同当事人，并就合同约定的事</w:t>
      </w:r>
      <w:r>
        <w:rPr>
          <w:rFonts w:ascii="宋体" w:hAnsi="宋体" w:cs="宋体"/>
          <w:spacing w:val="-5"/>
          <w:sz w:val="24"/>
          <w:szCs w:val="24"/>
          <w:highlight w:val="none"/>
        </w:rPr>
        <w:t>项</w:t>
      </w:r>
      <w:r>
        <w:rPr>
          <w:rFonts w:ascii="宋体" w:hAnsi="宋体" w:cs="宋体"/>
          <w:spacing w:val="-3"/>
          <w:sz w:val="24"/>
          <w:szCs w:val="24"/>
          <w:highlight w:val="none"/>
        </w:rPr>
        <w:t>对甲方承担连带责任。</w:t>
      </w:r>
    </w:p>
    <w:p w14:paraId="62EA0324">
      <w:pPr>
        <w:spacing w:before="2" w:line="238" w:lineRule="auto"/>
        <w:ind w:left="475"/>
        <w:rPr>
          <w:rFonts w:ascii="宋体" w:hAnsi="宋体" w:cs="宋体"/>
          <w:sz w:val="24"/>
          <w:szCs w:val="24"/>
          <w:highlight w:val="none"/>
        </w:rPr>
      </w:pPr>
      <w:r>
        <w:rPr>
          <w:rFonts w:ascii="宋体" w:hAnsi="宋体" w:cs="宋体"/>
          <w:spacing w:val="-2"/>
          <w:sz w:val="24"/>
          <w:szCs w:val="24"/>
          <w:highlight w:val="none"/>
        </w:rPr>
        <w:t>2.1.6“现场”系指合同约定</w:t>
      </w:r>
      <w:r>
        <w:rPr>
          <w:rFonts w:ascii="宋体" w:hAnsi="宋体" w:cs="宋体"/>
          <w:spacing w:val="-1"/>
          <w:sz w:val="24"/>
          <w:szCs w:val="24"/>
          <w:highlight w:val="none"/>
        </w:rPr>
        <w:t>提供服务的地点。</w:t>
      </w:r>
    </w:p>
    <w:p w14:paraId="2A879246">
      <w:pPr>
        <w:spacing w:before="156" w:line="220" w:lineRule="auto"/>
        <w:ind w:left="477"/>
        <w:outlineLvl w:val="0"/>
        <w:rPr>
          <w:rFonts w:ascii="宋体" w:hAnsi="宋体" w:cs="宋体"/>
          <w:sz w:val="24"/>
          <w:szCs w:val="24"/>
          <w:highlight w:val="none"/>
        </w:rPr>
      </w:pPr>
      <w:r>
        <w:rPr>
          <w:rFonts w:ascii="宋体" w:hAnsi="宋体" w:cs="宋体"/>
          <w:spacing w:val="-1"/>
          <w:sz w:val="24"/>
          <w:szCs w:val="24"/>
          <w:highlight w:val="none"/>
        </w:rPr>
        <w:t>2.2 技术</w:t>
      </w:r>
      <w:r>
        <w:rPr>
          <w:rFonts w:ascii="宋体" w:hAnsi="宋体" w:cs="宋体"/>
          <w:sz w:val="24"/>
          <w:szCs w:val="24"/>
          <w:highlight w:val="none"/>
        </w:rPr>
        <w:t>规范</w:t>
      </w:r>
    </w:p>
    <w:p w14:paraId="0ABF5B6D">
      <w:pPr>
        <w:spacing w:before="183" w:line="360" w:lineRule="auto"/>
        <w:ind w:left="40" w:right="68" w:firstLine="438"/>
        <w:rPr>
          <w:rFonts w:ascii="宋体" w:hAnsi="宋体" w:cs="宋体"/>
          <w:sz w:val="24"/>
          <w:szCs w:val="24"/>
          <w:highlight w:val="none"/>
        </w:rPr>
      </w:pPr>
      <w:r>
        <w:rPr>
          <w:rFonts w:ascii="宋体" w:hAnsi="宋体" w:cs="宋体"/>
          <w:spacing w:val="2"/>
          <w:sz w:val="24"/>
          <w:szCs w:val="24"/>
          <w:highlight w:val="none"/>
        </w:rPr>
        <w:t>货物所应遵守的技术规范应与采购文件规定的技术规</w:t>
      </w:r>
      <w:r>
        <w:rPr>
          <w:rFonts w:ascii="宋体" w:hAnsi="宋体" w:cs="宋体"/>
          <w:spacing w:val="1"/>
          <w:sz w:val="24"/>
          <w:szCs w:val="24"/>
          <w:highlight w:val="none"/>
        </w:rPr>
        <w:t>范和技术规范附件(如果有的话)及其技术规范偏差</w:t>
      </w:r>
      <w:r>
        <w:rPr>
          <w:rFonts w:ascii="宋体" w:hAnsi="宋体" w:cs="宋体"/>
          <w:sz w:val="24"/>
          <w:szCs w:val="24"/>
          <w:highlight w:val="none"/>
        </w:rPr>
        <w:t>表(如果被甲方接受的话)相一致；如果采购文件中</w:t>
      </w:r>
      <w:r>
        <w:rPr>
          <w:rFonts w:ascii="宋体" w:hAnsi="宋体" w:cs="宋体"/>
          <w:spacing w:val="-12"/>
          <w:sz w:val="24"/>
          <w:szCs w:val="24"/>
          <w:highlight w:val="none"/>
        </w:rPr>
        <w:t>没</w:t>
      </w:r>
      <w:r>
        <w:rPr>
          <w:rFonts w:ascii="宋体" w:hAnsi="宋体" w:cs="宋体"/>
          <w:spacing w:val="-8"/>
          <w:sz w:val="24"/>
          <w:szCs w:val="24"/>
          <w:highlight w:val="none"/>
        </w:rPr>
        <w:t>有</w:t>
      </w:r>
      <w:r>
        <w:rPr>
          <w:rFonts w:ascii="宋体" w:hAnsi="宋体" w:cs="宋体"/>
          <w:spacing w:val="-6"/>
          <w:sz w:val="24"/>
          <w:szCs w:val="24"/>
          <w:highlight w:val="none"/>
        </w:rPr>
        <w:t>技术规范的相应说明，那么应以国家有关部门最新颁布的相应标准和规范为</w:t>
      </w:r>
      <w:r>
        <w:rPr>
          <w:rFonts w:ascii="宋体" w:hAnsi="宋体" w:cs="宋体"/>
          <w:spacing w:val="-13"/>
          <w:sz w:val="24"/>
          <w:szCs w:val="24"/>
          <w:highlight w:val="none"/>
        </w:rPr>
        <w:t>准</w:t>
      </w:r>
      <w:r>
        <w:rPr>
          <w:rFonts w:ascii="宋体" w:hAnsi="宋体" w:cs="宋体"/>
          <w:spacing w:val="-11"/>
          <w:sz w:val="24"/>
          <w:szCs w:val="24"/>
          <w:highlight w:val="none"/>
        </w:rPr>
        <w:t>。</w:t>
      </w:r>
    </w:p>
    <w:p w14:paraId="4221091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2.3 知识</w:t>
      </w:r>
      <w:r>
        <w:rPr>
          <w:rFonts w:ascii="宋体" w:hAnsi="宋体" w:cs="宋体"/>
          <w:sz w:val="24"/>
          <w:szCs w:val="24"/>
          <w:highlight w:val="none"/>
        </w:rPr>
        <w:t>产权</w:t>
      </w:r>
    </w:p>
    <w:p w14:paraId="0E6D156E">
      <w:pPr>
        <w:spacing w:before="183" w:line="360" w:lineRule="auto"/>
        <w:ind w:left="37" w:right="68" w:firstLine="438"/>
        <w:rPr>
          <w:rFonts w:ascii="宋体" w:hAnsi="宋体" w:cs="宋体"/>
          <w:sz w:val="24"/>
          <w:szCs w:val="24"/>
          <w:highlight w:val="none"/>
        </w:rPr>
      </w:pPr>
      <w:r>
        <w:rPr>
          <w:rFonts w:ascii="宋体" w:hAnsi="宋体" w:cs="宋体"/>
          <w:spacing w:val="-2"/>
          <w:sz w:val="24"/>
          <w:szCs w:val="24"/>
          <w:highlight w:val="none"/>
        </w:rPr>
        <w:t>2.3.1 乙方应保证其提供的服务不受任何第三方</w:t>
      </w:r>
      <w:r>
        <w:rPr>
          <w:rFonts w:ascii="宋体" w:hAnsi="宋体" w:cs="宋体"/>
          <w:spacing w:val="-1"/>
          <w:sz w:val="24"/>
          <w:szCs w:val="24"/>
          <w:highlight w:val="none"/>
        </w:rPr>
        <w:t>提出的侵犯其著作权、商标</w:t>
      </w:r>
      <w:r>
        <w:rPr>
          <w:rFonts w:ascii="宋体" w:hAnsi="宋体" w:cs="宋体"/>
          <w:sz w:val="24"/>
          <w:szCs w:val="24"/>
          <w:highlight w:val="none"/>
        </w:rPr>
        <w:t xml:space="preserve"> </w:t>
      </w:r>
      <w:r>
        <w:rPr>
          <w:rFonts w:ascii="宋体" w:hAnsi="宋体" w:cs="宋体"/>
          <w:spacing w:val="-3"/>
          <w:sz w:val="24"/>
          <w:szCs w:val="24"/>
          <w:highlight w:val="none"/>
        </w:rPr>
        <w:t>权、专利权等知识产权方面的起诉；如果任何第三方提出侵权指控，那么乙方</w:t>
      </w:r>
      <w:r>
        <w:rPr>
          <w:rFonts w:ascii="宋体" w:hAnsi="宋体" w:cs="宋体"/>
          <w:sz w:val="24"/>
          <w:szCs w:val="24"/>
          <w:highlight w:val="none"/>
        </w:rPr>
        <w:t>须</w:t>
      </w:r>
      <w:r>
        <w:rPr>
          <w:rFonts w:ascii="宋体" w:hAnsi="宋体" w:cs="宋体"/>
          <w:spacing w:val="-1"/>
          <w:sz w:val="24"/>
          <w:szCs w:val="24"/>
          <w:highlight w:val="none"/>
        </w:rPr>
        <w:t>与该第三方交涉并承</w:t>
      </w:r>
      <w:r>
        <w:rPr>
          <w:rFonts w:ascii="宋体" w:hAnsi="宋体" w:cs="宋体"/>
          <w:sz w:val="24"/>
          <w:szCs w:val="24"/>
          <w:highlight w:val="none"/>
        </w:rPr>
        <w:t>担由此发生的一切责任、费用和赔偿；</w:t>
      </w:r>
    </w:p>
    <w:p w14:paraId="2EA2F5D4">
      <w:pPr>
        <w:spacing w:before="1" w:line="345" w:lineRule="auto"/>
        <w:ind w:left="27" w:firstLine="447"/>
        <w:rPr>
          <w:rFonts w:ascii="宋体" w:hAnsi="宋体" w:cs="宋体"/>
          <w:spacing w:val="-3"/>
          <w:sz w:val="24"/>
          <w:szCs w:val="24"/>
          <w:highlight w:val="none"/>
        </w:rPr>
      </w:pPr>
      <w:r>
        <w:rPr>
          <w:rFonts w:ascii="宋体" w:hAnsi="宋体" w:cs="宋体"/>
          <w:spacing w:val="-8"/>
          <w:sz w:val="24"/>
          <w:szCs w:val="24"/>
          <w:highlight w:val="none"/>
        </w:rPr>
        <w:t>2.3</w:t>
      </w:r>
      <w:r>
        <w:rPr>
          <w:rFonts w:ascii="宋体" w:hAnsi="宋体" w:cs="宋体"/>
          <w:spacing w:val="-5"/>
          <w:sz w:val="24"/>
          <w:szCs w:val="24"/>
          <w:highlight w:val="none"/>
        </w:rPr>
        <w:t>.</w:t>
      </w:r>
      <w:r>
        <w:rPr>
          <w:rFonts w:ascii="宋体" w:hAnsi="宋体" w:cs="宋体"/>
          <w:spacing w:val="-4"/>
          <w:sz w:val="24"/>
          <w:szCs w:val="24"/>
          <w:highlight w:val="none"/>
        </w:rPr>
        <w:t xml:space="preserve">2 具有知识产权的计算机软件等货物的知识产权归属， </w:t>
      </w:r>
      <w:r>
        <w:rPr>
          <w:rFonts w:ascii="宋体" w:hAnsi="宋体" w:cs="宋体"/>
          <w:spacing w:val="-3"/>
          <w:sz w:val="24"/>
          <w:szCs w:val="24"/>
          <w:highlight w:val="none"/>
        </w:rPr>
        <w:t>详见</w:t>
      </w:r>
      <w:r>
        <w:rPr>
          <w:rFonts w:ascii="宋体" w:hAnsi="宋体" w:cs="宋体"/>
          <w:spacing w:val="-3"/>
          <w:sz w:val="24"/>
          <w:szCs w:val="24"/>
          <w:highlight w:val="none"/>
          <w:u w:val="single"/>
        </w:rPr>
        <w:t>合同专用条 款</w:t>
      </w:r>
      <w:r>
        <w:rPr>
          <w:rFonts w:ascii="宋体" w:hAnsi="宋体" w:cs="宋体"/>
          <w:spacing w:val="-3"/>
          <w:sz w:val="24"/>
          <w:szCs w:val="24"/>
          <w:highlight w:val="none"/>
        </w:rPr>
        <w:t>。</w:t>
      </w:r>
    </w:p>
    <w:p w14:paraId="39F961B4">
      <w:pPr>
        <w:spacing w:before="1" w:line="218"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.4 履约检查和问题反馈</w:t>
      </w:r>
    </w:p>
    <w:p w14:paraId="1B27AF02">
      <w:pPr>
        <w:rPr>
          <w:highlight w:val="none"/>
        </w:rPr>
        <w:sectPr>
          <w:headerReference r:id="rId10" w:type="default"/>
          <w:footerReference r:id="rId11" w:type="default"/>
          <w:pgSz w:w="11907" w:h="16839"/>
          <w:pgMar w:top="1118" w:right="1729" w:bottom="1233" w:left="1771" w:header="877" w:footer="982" w:gutter="0"/>
          <w:pgNumType w:fmt="decimal"/>
          <w:cols w:space="720" w:num="1"/>
        </w:sectPr>
      </w:pPr>
    </w:p>
    <w:p w14:paraId="14EBA1B6">
      <w:pPr>
        <w:spacing w:line="354" w:lineRule="auto"/>
        <w:rPr>
          <w:highlight w:val="none"/>
        </w:rPr>
      </w:pPr>
    </w:p>
    <w:p w14:paraId="64898FFA">
      <w:pPr>
        <w:spacing w:before="78" w:line="360" w:lineRule="auto"/>
        <w:ind w:left="41" w:right="67" w:firstLine="433"/>
        <w:rPr>
          <w:rFonts w:ascii="宋体" w:hAnsi="宋体" w:cs="宋体"/>
          <w:sz w:val="24"/>
          <w:szCs w:val="24"/>
          <w:highlight w:val="none"/>
        </w:rPr>
      </w:pPr>
      <w:r>
        <w:rPr>
          <w:rFonts w:ascii="宋体" w:hAnsi="宋体" w:cs="宋体"/>
          <w:spacing w:val="-2"/>
          <w:sz w:val="24"/>
          <w:szCs w:val="24"/>
          <w:highlight w:val="none"/>
        </w:rPr>
        <w:t>2.4.1 甲方有权在其认为必要时，对乙方是否能够按照合同约定提供服</w:t>
      </w:r>
      <w:r>
        <w:rPr>
          <w:rFonts w:ascii="宋体" w:hAnsi="宋体" w:cs="宋体"/>
          <w:spacing w:val="-1"/>
          <w:sz w:val="24"/>
          <w:szCs w:val="24"/>
          <w:highlight w:val="none"/>
        </w:rPr>
        <w:t>务</w:t>
      </w:r>
      <w:r>
        <w:rPr>
          <w:rFonts w:ascii="宋体" w:hAnsi="宋体" w:cs="宋体"/>
          <w:sz w:val="24"/>
          <w:szCs w:val="24"/>
          <w:highlight w:val="none"/>
        </w:rPr>
        <w:t xml:space="preserve">进 </w:t>
      </w:r>
      <w:r>
        <w:rPr>
          <w:rFonts w:ascii="宋体" w:hAnsi="宋体" w:cs="宋体"/>
          <w:spacing w:val="-18"/>
          <w:sz w:val="24"/>
          <w:szCs w:val="24"/>
          <w:highlight w:val="none"/>
        </w:rPr>
        <w:t>行</w:t>
      </w:r>
      <w:r>
        <w:rPr>
          <w:rFonts w:ascii="宋体" w:hAnsi="宋体" w:cs="宋体"/>
          <w:spacing w:val="-17"/>
          <w:sz w:val="24"/>
          <w:szCs w:val="24"/>
          <w:highlight w:val="none"/>
        </w:rPr>
        <w:t>履</w:t>
      </w:r>
      <w:r>
        <w:rPr>
          <w:rFonts w:ascii="宋体" w:hAnsi="宋体" w:cs="宋体"/>
          <w:spacing w:val="-9"/>
          <w:sz w:val="24"/>
          <w:szCs w:val="24"/>
          <w:highlight w:val="none"/>
        </w:rPr>
        <w:t>约检查， 以确保乙方所提供的服务能够依约满足甲方项目需求，但不得因履</w:t>
      </w:r>
      <w:r>
        <w:rPr>
          <w:rFonts w:ascii="宋体" w:hAnsi="宋体" w:cs="宋体"/>
          <w:spacing w:val="-4"/>
          <w:sz w:val="24"/>
          <w:szCs w:val="24"/>
          <w:highlight w:val="none"/>
        </w:rPr>
        <w:t>约</w:t>
      </w:r>
      <w:r>
        <w:rPr>
          <w:rFonts w:ascii="宋体" w:hAnsi="宋体" w:cs="宋体"/>
          <w:spacing w:val="-3"/>
          <w:sz w:val="24"/>
          <w:szCs w:val="24"/>
          <w:highlight w:val="none"/>
        </w:rPr>
        <w:t>检查妨碍乙方的正常工作，乙方应予积极配合；</w:t>
      </w:r>
    </w:p>
    <w:p w14:paraId="17B239C4">
      <w:pPr>
        <w:spacing w:before="2" w:line="359" w:lineRule="auto"/>
        <w:ind w:left="53" w:right="65" w:firstLine="422"/>
        <w:rPr>
          <w:rFonts w:ascii="宋体" w:hAnsi="宋体" w:cs="宋体"/>
          <w:sz w:val="24"/>
          <w:szCs w:val="24"/>
          <w:highlight w:val="none"/>
        </w:rPr>
      </w:pPr>
      <w:r>
        <w:rPr>
          <w:rFonts w:ascii="宋体" w:hAnsi="宋体" w:cs="宋体"/>
          <w:spacing w:val="-2"/>
          <w:sz w:val="24"/>
          <w:szCs w:val="24"/>
          <w:highlight w:val="none"/>
        </w:rPr>
        <w:t>2.4.2 合同履行期间，甲方有权将履行过程中出现</w:t>
      </w:r>
      <w:r>
        <w:rPr>
          <w:rFonts w:ascii="宋体" w:hAnsi="宋体" w:cs="宋体"/>
          <w:spacing w:val="-1"/>
          <w:sz w:val="24"/>
          <w:szCs w:val="24"/>
          <w:highlight w:val="none"/>
        </w:rPr>
        <w:t>的问题反馈给乙方，双方</w:t>
      </w:r>
      <w:r>
        <w:rPr>
          <w:rFonts w:ascii="宋体" w:hAnsi="宋体" w:cs="宋体"/>
          <w:sz w:val="24"/>
          <w:szCs w:val="24"/>
          <w:highlight w:val="none"/>
        </w:rPr>
        <w:t xml:space="preserve"> </w:t>
      </w:r>
      <w:r>
        <w:rPr>
          <w:rFonts w:ascii="宋体" w:hAnsi="宋体" w:cs="宋体"/>
          <w:spacing w:val="-4"/>
          <w:sz w:val="24"/>
          <w:szCs w:val="24"/>
          <w:highlight w:val="none"/>
        </w:rPr>
        <w:t>当事人应以书</w:t>
      </w:r>
      <w:r>
        <w:rPr>
          <w:rFonts w:ascii="宋体" w:hAnsi="宋体" w:cs="宋体"/>
          <w:spacing w:val="-3"/>
          <w:sz w:val="24"/>
          <w:szCs w:val="24"/>
          <w:highlight w:val="none"/>
        </w:rPr>
        <w:t>面</w:t>
      </w:r>
      <w:r>
        <w:rPr>
          <w:rFonts w:ascii="宋体" w:hAnsi="宋体" w:cs="宋体"/>
          <w:spacing w:val="-2"/>
          <w:sz w:val="24"/>
          <w:szCs w:val="24"/>
          <w:highlight w:val="none"/>
        </w:rPr>
        <w:t>形式约定需要完善和改进的内容。</w:t>
      </w:r>
    </w:p>
    <w:p w14:paraId="04C55D3F">
      <w:pPr>
        <w:spacing w:before="2" w:line="283" w:lineRule="auto"/>
        <w:ind w:left="475" w:right="5345" w:firstLine="2"/>
        <w:rPr>
          <w:rFonts w:ascii="宋体" w:hAnsi="宋体" w:cs="宋体"/>
          <w:sz w:val="24"/>
          <w:szCs w:val="24"/>
          <w:highlight w:val="none"/>
        </w:rPr>
      </w:pPr>
      <w:r>
        <w:rPr>
          <w:rFonts w:ascii="宋体" w:hAnsi="宋体" w:cs="宋体"/>
          <w:spacing w:val="-5"/>
          <w:sz w:val="24"/>
          <w:szCs w:val="24"/>
          <w:highlight w:val="none"/>
        </w:rPr>
        <w:t>2.5 结算方式和付款条</w:t>
      </w:r>
      <w:r>
        <w:rPr>
          <w:rFonts w:ascii="宋体" w:hAnsi="宋体" w:cs="宋体"/>
          <w:spacing w:val="-4"/>
          <w:sz w:val="24"/>
          <w:szCs w:val="24"/>
          <w:highlight w:val="none"/>
        </w:rPr>
        <w:t>件</w:t>
      </w:r>
      <w:r>
        <w:rPr>
          <w:rFonts w:ascii="宋体" w:hAnsi="宋体" w:cs="宋体"/>
          <w:sz w:val="24"/>
          <w:szCs w:val="24"/>
          <w:highlight w:val="none"/>
        </w:rPr>
        <w:t xml:space="preserve"> 详见</w:t>
      </w:r>
      <w:r>
        <w:rPr>
          <w:rFonts w:ascii="宋体" w:hAnsi="宋体" w:cs="宋体"/>
          <w:spacing w:val="-2"/>
          <w:sz w:val="24"/>
          <w:szCs w:val="24"/>
          <w:highlight w:val="none"/>
          <w:u w:val="single"/>
        </w:rPr>
        <w:t>合同专用条款</w:t>
      </w:r>
      <w:r>
        <w:rPr>
          <w:rFonts w:ascii="宋体" w:hAnsi="宋体" w:cs="宋体"/>
          <w:spacing w:val="-2"/>
          <w:sz w:val="24"/>
          <w:szCs w:val="24"/>
          <w:highlight w:val="none"/>
        </w:rPr>
        <w:t>。</w:t>
      </w:r>
    </w:p>
    <w:p w14:paraId="5F612BA2">
      <w:pPr>
        <w:spacing w:before="182" w:line="218" w:lineRule="auto"/>
        <w:ind w:left="477"/>
        <w:rPr>
          <w:rFonts w:ascii="宋体" w:hAnsi="宋体" w:cs="宋体"/>
          <w:sz w:val="24"/>
          <w:szCs w:val="24"/>
          <w:highlight w:val="none"/>
        </w:rPr>
      </w:pPr>
      <w:r>
        <w:rPr>
          <w:rFonts w:ascii="宋体" w:hAnsi="宋体" w:cs="宋体"/>
          <w:spacing w:val="-5"/>
          <w:sz w:val="24"/>
          <w:szCs w:val="24"/>
          <w:highlight w:val="none"/>
        </w:rPr>
        <w:t>2.6 技术资料和保密义</w:t>
      </w:r>
      <w:r>
        <w:rPr>
          <w:rFonts w:ascii="宋体" w:hAnsi="宋体" w:cs="宋体"/>
          <w:spacing w:val="-4"/>
          <w:sz w:val="24"/>
          <w:szCs w:val="24"/>
          <w:highlight w:val="none"/>
        </w:rPr>
        <w:t>务</w:t>
      </w:r>
    </w:p>
    <w:p w14:paraId="2BDB04BB">
      <w:pPr>
        <w:spacing w:before="185" w:line="360" w:lineRule="auto"/>
        <w:ind w:left="48" w:right="65" w:firstLine="426"/>
        <w:rPr>
          <w:rFonts w:ascii="宋体" w:hAnsi="宋体" w:cs="宋体"/>
          <w:sz w:val="24"/>
          <w:szCs w:val="24"/>
          <w:highlight w:val="none"/>
        </w:rPr>
      </w:pPr>
      <w:r>
        <w:rPr>
          <w:rFonts w:ascii="宋体" w:hAnsi="宋体" w:cs="宋体"/>
          <w:spacing w:val="-2"/>
          <w:sz w:val="24"/>
          <w:szCs w:val="24"/>
          <w:highlight w:val="none"/>
        </w:rPr>
        <w:t>2.6.1 乙方有权依据合同约定和项目需要，向甲方</w:t>
      </w:r>
      <w:r>
        <w:rPr>
          <w:rFonts w:ascii="宋体" w:hAnsi="宋体" w:cs="宋体"/>
          <w:spacing w:val="-1"/>
          <w:sz w:val="24"/>
          <w:szCs w:val="24"/>
          <w:highlight w:val="none"/>
        </w:rPr>
        <w:t>了解有关情况，调阅有关</w:t>
      </w:r>
      <w:r>
        <w:rPr>
          <w:rFonts w:ascii="宋体" w:hAnsi="宋体" w:cs="宋体"/>
          <w:sz w:val="24"/>
          <w:szCs w:val="24"/>
          <w:highlight w:val="none"/>
        </w:rPr>
        <w:t xml:space="preserve"> </w:t>
      </w:r>
      <w:r>
        <w:rPr>
          <w:rFonts w:ascii="宋体" w:hAnsi="宋体" w:cs="宋体"/>
          <w:spacing w:val="-10"/>
          <w:sz w:val="24"/>
          <w:szCs w:val="24"/>
          <w:highlight w:val="none"/>
        </w:rPr>
        <w:t>资</w:t>
      </w:r>
      <w:r>
        <w:rPr>
          <w:rFonts w:ascii="宋体" w:hAnsi="宋体" w:cs="宋体"/>
          <w:spacing w:val="-6"/>
          <w:sz w:val="24"/>
          <w:szCs w:val="24"/>
          <w:highlight w:val="none"/>
        </w:rPr>
        <w:t>料</w:t>
      </w:r>
      <w:r>
        <w:rPr>
          <w:rFonts w:ascii="宋体" w:hAnsi="宋体" w:cs="宋体"/>
          <w:spacing w:val="-5"/>
          <w:sz w:val="24"/>
          <w:szCs w:val="24"/>
          <w:highlight w:val="none"/>
        </w:rPr>
        <w:t>等，甲方应予积极配合；</w:t>
      </w:r>
    </w:p>
    <w:p w14:paraId="0F06F22D">
      <w:pPr>
        <w:spacing w:line="218" w:lineRule="auto"/>
        <w:ind w:left="475"/>
        <w:rPr>
          <w:rFonts w:ascii="宋体" w:hAnsi="宋体" w:cs="宋体"/>
          <w:sz w:val="24"/>
          <w:szCs w:val="24"/>
          <w:highlight w:val="none"/>
        </w:rPr>
      </w:pPr>
      <w:r>
        <w:rPr>
          <w:rFonts w:ascii="宋体" w:hAnsi="宋体" w:cs="宋体"/>
          <w:spacing w:val="-6"/>
          <w:sz w:val="24"/>
          <w:szCs w:val="24"/>
          <w:highlight w:val="none"/>
        </w:rPr>
        <w:t>2.6.2 乙方有</w:t>
      </w:r>
      <w:r>
        <w:rPr>
          <w:rFonts w:ascii="宋体" w:hAnsi="宋体" w:cs="宋体"/>
          <w:spacing w:val="-3"/>
          <w:sz w:val="24"/>
          <w:szCs w:val="24"/>
          <w:highlight w:val="none"/>
        </w:rPr>
        <w:t>义务妥善保管和保护由甲方提供的前款信息和资料等；</w:t>
      </w:r>
    </w:p>
    <w:p w14:paraId="179401F3">
      <w:pPr>
        <w:spacing w:before="185" w:line="360" w:lineRule="auto"/>
        <w:ind w:left="38" w:right="62" w:firstLine="437"/>
        <w:rPr>
          <w:rFonts w:ascii="宋体" w:hAnsi="宋体" w:cs="宋体"/>
          <w:sz w:val="24"/>
          <w:szCs w:val="24"/>
          <w:highlight w:val="none"/>
        </w:rPr>
      </w:pPr>
      <w:r>
        <w:rPr>
          <w:rFonts w:ascii="宋体" w:hAnsi="宋体" w:cs="宋体"/>
          <w:spacing w:val="-2"/>
          <w:sz w:val="24"/>
          <w:szCs w:val="24"/>
          <w:highlight w:val="none"/>
        </w:rPr>
        <w:t>2.6.3 除非依照法律规定或者对方当事人的书面同</w:t>
      </w:r>
      <w:r>
        <w:rPr>
          <w:rFonts w:ascii="宋体" w:hAnsi="宋体" w:cs="宋体"/>
          <w:spacing w:val="-1"/>
          <w:sz w:val="24"/>
          <w:szCs w:val="24"/>
          <w:highlight w:val="none"/>
        </w:rPr>
        <w:t>意，任何一方均应保证不</w:t>
      </w:r>
      <w:r>
        <w:rPr>
          <w:rFonts w:ascii="宋体" w:hAnsi="宋体" w:cs="宋体"/>
          <w:sz w:val="24"/>
          <w:szCs w:val="24"/>
          <w:highlight w:val="none"/>
        </w:rPr>
        <w:t xml:space="preserve"> </w:t>
      </w:r>
      <w:r>
        <w:rPr>
          <w:rFonts w:ascii="宋体" w:hAnsi="宋体" w:cs="宋体"/>
          <w:spacing w:val="7"/>
          <w:sz w:val="24"/>
          <w:szCs w:val="24"/>
          <w:highlight w:val="none"/>
        </w:rPr>
        <w:t>向</w:t>
      </w:r>
      <w:r>
        <w:rPr>
          <w:rFonts w:ascii="宋体" w:hAnsi="宋体" w:cs="宋体"/>
          <w:spacing w:val="4"/>
          <w:sz w:val="24"/>
          <w:szCs w:val="24"/>
          <w:highlight w:val="none"/>
        </w:rPr>
        <w:t>任何第三方提供或披露有关合同的或者履行合同过程中知悉的对方当事人任</w:t>
      </w:r>
      <w:r>
        <w:rPr>
          <w:rFonts w:ascii="宋体" w:hAnsi="宋体" w:cs="宋体"/>
          <w:spacing w:val="-12"/>
          <w:sz w:val="24"/>
          <w:szCs w:val="24"/>
          <w:highlight w:val="none"/>
        </w:rPr>
        <w:t>何</w:t>
      </w:r>
      <w:r>
        <w:rPr>
          <w:rFonts w:ascii="宋体" w:hAnsi="宋体" w:cs="宋体"/>
          <w:spacing w:val="-7"/>
          <w:sz w:val="24"/>
          <w:szCs w:val="24"/>
          <w:highlight w:val="none"/>
        </w:rPr>
        <w:t>未</w:t>
      </w:r>
      <w:r>
        <w:rPr>
          <w:rFonts w:ascii="宋体" w:hAnsi="宋体" w:cs="宋体"/>
          <w:spacing w:val="-6"/>
          <w:sz w:val="24"/>
          <w:szCs w:val="24"/>
          <w:highlight w:val="none"/>
        </w:rPr>
        <w:t>公开的信息和资料， 包括但不限于技术情报、技术资料、商业秘密和商业信</w:t>
      </w:r>
      <w:r>
        <w:rPr>
          <w:rFonts w:ascii="宋体" w:hAnsi="宋体" w:cs="宋体"/>
          <w:sz w:val="24"/>
          <w:szCs w:val="24"/>
          <w:highlight w:val="none"/>
        </w:rPr>
        <w:t xml:space="preserve"> </w:t>
      </w:r>
      <w:r>
        <w:rPr>
          <w:rFonts w:ascii="宋体" w:hAnsi="宋体" w:cs="宋体"/>
          <w:spacing w:val="-3"/>
          <w:sz w:val="24"/>
          <w:szCs w:val="24"/>
          <w:highlight w:val="none"/>
        </w:rPr>
        <w:t>息等，并采取一切合理和必要措施和方式防止任何第三方接触到对方当事人的</w:t>
      </w:r>
      <w:r>
        <w:rPr>
          <w:rFonts w:ascii="宋体" w:hAnsi="宋体" w:cs="宋体"/>
          <w:spacing w:val="-1"/>
          <w:sz w:val="24"/>
          <w:szCs w:val="24"/>
          <w:highlight w:val="none"/>
        </w:rPr>
        <w:t>上</w:t>
      </w:r>
      <w:r>
        <w:rPr>
          <w:rFonts w:ascii="宋体" w:hAnsi="宋体" w:cs="宋体"/>
          <w:sz w:val="24"/>
          <w:szCs w:val="24"/>
          <w:highlight w:val="none"/>
        </w:rPr>
        <w:t xml:space="preserve"> </w:t>
      </w:r>
      <w:r>
        <w:rPr>
          <w:rFonts w:ascii="宋体" w:hAnsi="宋体" w:cs="宋体"/>
          <w:spacing w:val="-8"/>
          <w:sz w:val="24"/>
          <w:szCs w:val="24"/>
          <w:highlight w:val="none"/>
        </w:rPr>
        <w:t>述</w:t>
      </w:r>
      <w:r>
        <w:rPr>
          <w:rFonts w:ascii="宋体" w:hAnsi="宋体" w:cs="宋体"/>
          <w:spacing w:val="-4"/>
          <w:sz w:val="24"/>
          <w:szCs w:val="24"/>
          <w:highlight w:val="none"/>
        </w:rPr>
        <w:t>保密信息和资料。</w:t>
      </w:r>
    </w:p>
    <w:p w14:paraId="74469B6C">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2.7 质量</w:t>
      </w:r>
      <w:r>
        <w:rPr>
          <w:rFonts w:ascii="宋体" w:hAnsi="宋体" w:cs="宋体"/>
          <w:sz w:val="24"/>
          <w:szCs w:val="24"/>
          <w:highlight w:val="none"/>
        </w:rPr>
        <w:t>保证</w:t>
      </w:r>
    </w:p>
    <w:p w14:paraId="51C32518">
      <w:pPr>
        <w:spacing w:before="182" w:line="360" w:lineRule="auto"/>
        <w:ind w:left="46" w:right="65" w:firstLine="428"/>
        <w:rPr>
          <w:rFonts w:ascii="宋体" w:hAnsi="宋体" w:cs="宋体"/>
          <w:sz w:val="24"/>
          <w:szCs w:val="24"/>
          <w:highlight w:val="none"/>
        </w:rPr>
      </w:pPr>
      <w:r>
        <w:rPr>
          <w:rFonts w:ascii="宋体" w:hAnsi="宋体" w:cs="宋体"/>
          <w:spacing w:val="-2"/>
          <w:sz w:val="24"/>
          <w:szCs w:val="24"/>
          <w:highlight w:val="none"/>
        </w:rPr>
        <w:t>2.7.1 乙方应建立和完善履行合同的内部质量保证</w:t>
      </w:r>
      <w:r>
        <w:rPr>
          <w:rFonts w:ascii="宋体" w:hAnsi="宋体" w:cs="宋体"/>
          <w:spacing w:val="-1"/>
          <w:sz w:val="24"/>
          <w:szCs w:val="24"/>
          <w:highlight w:val="none"/>
        </w:rPr>
        <w:t>体系，并提供相关内部规</w:t>
      </w:r>
      <w:r>
        <w:rPr>
          <w:rFonts w:ascii="宋体" w:hAnsi="宋体" w:cs="宋体"/>
          <w:sz w:val="24"/>
          <w:szCs w:val="24"/>
          <w:highlight w:val="none"/>
        </w:rPr>
        <w:t xml:space="preserve"> </w:t>
      </w:r>
      <w:r>
        <w:rPr>
          <w:rFonts w:ascii="宋体" w:hAnsi="宋体" w:cs="宋体"/>
          <w:spacing w:val="-4"/>
          <w:sz w:val="24"/>
          <w:szCs w:val="24"/>
          <w:highlight w:val="none"/>
        </w:rPr>
        <w:t>章制度给甲方，以便甲方进行监督检查</w:t>
      </w:r>
      <w:r>
        <w:rPr>
          <w:rFonts w:ascii="宋体" w:hAnsi="宋体" w:cs="宋体"/>
          <w:spacing w:val="-2"/>
          <w:sz w:val="24"/>
          <w:szCs w:val="24"/>
          <w:highlight w:val="none"/>
        </w:rPr>
        <w:t>；</w:t>
      </w:r>
    </w:p>
    <w:p w14:paraId="0163F526">
      <w:pPr>
        <w:spacing w:line="360" w:lineRule="auto"/>
        <w:ind w:left="38" w:right="65" w:firstLine="437"/>
        <w:rPr>
          <w:rFonts w:ascii="宋体" w:hAnsi="宋体" w:cs="宋体"/>
          <w:sz w:val="24"/>
          <w:szCs w:val="24"/>
          <w:highlight w:val="none"/>
        </w:rPr>
      </w:pPr>
      <w:r>
        <w:rPr>
          <w:rFonts w:ascii="宋体" w:hAnsi="宋体" w:cs="宋体"/>
          <w:spacing w:val="-2"/>
          <w:sz w:val="24"/>
          <w:szCs w:val="24"/>
          <w:highlight w:val="none"/>
        </w:rPr>
        <w:t>2.7.2 乙方应保证履行合同的人员数量和素质、软</w:t>
      </w:r>
      <w:r>
        <w:rPr>
          <w:rFonts w:ascii="宋体" w:hAnsi="宋体" w:cs="宋体"/>
          <w:spacing w:val="-1"/>
          <w:sz w:val="24"/>
          <w:szCs w:val="24"/>
          <w:highlight w:val="none"/>
        </w:rPr>
        <w:t>件和硬件设备的配置、场</w:t>
      </w:r>
      <w:r>
        <w:rPr>
          <w:rFonts w:ascii="宋体" w:hAnsi="宋体" w:cs="宋体"/>
          <w:sz w:val="24"/>
          <w:szCs w:val="24"/>
          <w:highlight w:val="none"/>
        </w:rPr>
        <w:t xml:space="preserve"> </w:t>
      </w:r>
      <w:r>
        <w:rPr>
          <w:rFonts w:ascii="宋体" w:hAnsi="宋体" w:cs="宋体"/>
          <w:spacing w:val="-2"/>
          <w:sz w:val="24"/>
          <w:szCs w:val="24"/>
          <w:highlight w:val="none"/>
        </w:rPr>
        <w:t>地、环境和设施等满足全</w:t>
      </w:r>
      <w:r>
        <w:rPr>
          <w:rFonts w:ascii="宋体" w:hAnsi="宋体" w:cs="宋体"/>
          <w:spacing w:val="-1"/>
          <w:sz w:val="24"/>
          <w:szCs w:val="24"/>
          <w:highlight w:val="none"/>
        </w:rPr>
        <w:t>面履行合同的要求，并应接受甲方的监督检查。</w:t>
      </w:r>
    </w:p>
    <w:p w14:paraId="0201EE92">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2.8 延迟</w:t>
      </w:r>
      <w:r>
        <w:rPr>
          <w:rFonts w:ascii="宋体" w:hAnsi="宋体" w:cs="宋体"/>
          <w:sz w:val="24"/>
          <w:szCs w:val="24"/>
          <w:highlight w:val="none"/>
        </w:rPr>
        <w:t>履行</w:t>
      </w:r>
    </w:p>
    <w:p w14:paraId="6E968151">
      <w:pPr>
        <w:spacing w:before="183" w:line="360" w:lineRule="auto"/>
        <w:ind w:left="38" w:firstLine="433"/>
        <w:rPr>
          <w:rFonts w:ascii="宋体" w:hAnsi="宋体" w:cs="宋体"/>
          <w:sz w:val="24"/>
          <w:szCs w:val="24"/>
          <w:highlight w:val="none"/>
        </w:rPr>
      </w:pPr>
      <w:r>
        <w:rPr>
          <w:rFonts w:ascii="宋体" w:hAnsi="宋体" w:cs="宋体"/>
          <w:spacing w:val="-16"/>
          <w:sz w:val="24"/>
          <w:szCs w:val="24"/>
          <w:highlight w:val="none"/>
        </w:rPr>
        <w:t>在合</w:t>
      </w:r>
      <w:r>
        <w:rPr>
          <w:rFonts w:ascii="宋体" w:hAnsi="宋体" w:cs="宋体"/>
          <w:spacing w:val="-8"/>
          <w:sz w:val="24"/>
          <w:szCs w:val="24"/>
          <w:highlight w:val="none"/>
        </w:rPr>
        <w:t>同履行过程中，如果乙方遇到不能按时提供服务的情况，应及时以书面</w:t>
      </w:r>
      <w:r>
        <w:rPr>
          <w:rFonts w:ascii="宋体" w:hAnsi="宋体" w:cs="宋体"/>
          <w:spacing w:val="-14"/>
          <w:sz w:val="24"/>
          <w:szCs w:val="24"/>
          <w:highlight w:val="none"/>
        </w:rPr>
        <w:t>形式将</w:t>
      </w:r>
      <w:r>
        <w:rPr>
          <w:rFonts w:ascii="宋体" w:hAnsi="宋体" w:cs="宋体"/>
          <w:spacing w:val="-12"/>
          <w:sz w:val="24"/>
          <w:szCs w:val="24"/>
          <w:highlight w:val="none"/>
        </w:rPr>
        <w:t>不</w:t>
      </w:r>
      <w:r>
        <w:rPr>
          <w:rFonts w:ascii="宋体" w:hAnsi="宋体" w:cs="宋体"/>
          <w:spacing w:val="-7"/>
          <w:sz w:val="24"/>
          <w:szCs w:val="24"/>
          <w:highlight w:val="none"/>
        </w:rPr>
        <w:t>能按时提供服务的理由、预期延误时间通知甲方；甲方收到乙方通知后</w:t>
      </w:r>
      <w:r>
        <w:rPr>
          <w:rFonts w:hint="eastAsia" w:ascii="宋体" w:hAnsi="宋体" w:cs="宋体"/>
          <w:spacing w:val="-7"/>
          <w:sz w:val="24"/>
          <w:szCs w:val="24"/>
          <w:highlight w:val="none"/>
        </w:rPr>
        <w:t>,</w:t>
      </w:r>
      <w:r>
        <w:rPr>
          <w:rFonts w:ascii="宋体" w:hAnsi="宋体" w:cs="宋体"/>
          <w:sz w:val="24"/>
          <w:szCs w:val="24"/>
          <w:highlight w:val="none"/>
        </w:rPr>
        <w:t xml:space="preserve"> </w:t>
      </w:r>
      <w:r>
        <w:rPr>
          <w:rFonts w:ascii="宋体" w:hAnsi="宋体" w:cs="宋体"/>
          <w:spacing w:val="-2"/>
          <w:sz w:val="24"/>
          <w:szCs w:val="24"/>
          <w:highlight w:val="none"/>
        </w:rPr>
        <w:t>认为</w:t>
      </w:r>
      <w:r>
        <w:rPr>
          <w:rFonts w:ascii="宋体" w:hAnsi="宋体" w:cs="宋体"/>
          <w:spacing w:val="-1"/>
          <w:sz w:val="24"/>
          <w:szCs w:val="24"/>
          <w:highlight w:val="none"/>
        </w:rPr>
        <w:t>其理由正当的，可以书面形式酌情同意乙方可以延长履行的具体时间。</w:t>
      </w:r>
    </w:p>
    <w:p w14:paraId="3C1753F6">
      <w:pPr>
        <w:spacing w:before="1" w:line="220" w:lineRule="auto"/>
        <w:ind w:left="477"/>
        <w:outlineLvl w:val="0"/>
        <w:rPr>
          <w:rFonts w:ascii="宋体" w:hAnsi="宋体" w:cs="宋体"/>
          <w:sz w:val="24"/>
          <w:szCs w:val="24"/>
          <w:highlight w:val="none"/>
        </w:rPr>
      </w:pPr>
      <w:r>
        <w:rPr>
          <w:rFonts w:ascii="宋体" w:hAnsi="宋体" w:cs="宋体"/>
          <w:spacing w:val="-1"/>
          <w:sz w:val="24"/>
          <w:szCs w:val="24"/>
          <w:highlight w:val="none"/>
        </w:rPr>
        <w:t>2.9 合同</w:t>
      </w:r>
      <w:r>
        <w:rPr>
          <w:rFonts w:ascii="宋体" w:hAnsi="宋体" w:cs="宋体"/>
          <w:sz w:val="24"/>
          <w:szCs w:val="24"/>
          <w:highlight w:val="none"/>
        </w:rPr>
        <w:t>变更</w:t>
      </w:r>
    </w:p>
    <w:p w14:paraId="7284BBDF">
      <w:pPr>
        <w:spacing w:before="181" w:line="360" w:lineRule="auto"/>
        <w:ind w:left="39" w:right="65" w:firstLine="436"/>
        <w:rPr>
          <w:rFonts w:ascii="宋体" w:hAnsi="宋体" w:cs="宋体"/>
          <w:sz w:val="24"/>
          <w:szCs w:val="24"/>
          <w:highlight w:val="none"/>
        </w:rPr>
      </w:pPr>
      <w:r>
        <w:rPr>
          <w:rFonts w:ascii="宋体" w:hAnsi="宋体" w:cs="宋体"/>
          <w:spacing w:val="-2"/>
          <w:sz w:val="24"/>
          <w:szCs w:val="24"/>
          <w:highlight w:val="none"/>
        </w:rPr>
        <w:t>2.9.1 双方当事人协商一致，可以签订书面补充合</w:t>
      </w:r>
      <w:r>
        <w:rPr>
          <w:rFonts w:ascii="宋体" w:hAnsi="宋体" w:cs="宋体"/>
          <w:spacing w:val="-1"/>
          <w:sz w:val="24"/>
          <w:szCs w:val="24"/>
          <w:highlight w:val="none"/>
        </w:rPr>
        <w:t>同的形式变更合同，但不</w:t>
      </w:r>
      <w:r>
        <w:rPr>
          <w:rFonts w:ascii="宋体" w:hAnsi="宋体" w:cs="宋体"/>
          <w:sz w:val="24"/>
          <w:szCs w:val="24"/>
          <w:highlight w:val="none"/>
        </w:rPr>
        <w:t xml:space="preserve"> </w:t>
      </w:r>
      <w:r>
        <w:rPr>
          <w:rFonts w:ascii="宋体" w:hAnsi="宋体" w:cs="宋体"/>
          <w:spacing w:val="-8"/>
          <w:sz w:val="24"/>
          <w:szCs w:val="24"/>
          <w:highlight w:val="none"/>
        </w:rPr>
        <w:t>得违</w:t>
      </w:r>
      <w:r>
        <w:rPr>
          <w:rFonts w:ascii="宋体" w:hAnsi="宋体" w:cs="宋体"/>
          <w:spacing w:val="-6"/>
          <w:sz w:val="24"/>
          <w:szCs w:val="24"/>
          <w:highlight w:val="none"/>
        </w:rPr>
        <w:t>背</w:t>
      </w:r>
      <w:r>
        <w:rPr>
          <w:rFonts w:ascii="宋体" w:hAnsi="宋体" w:cs="宋体"/>
          <w:spacing w:val="-4"/>
          <w:sz w:val="24"/>
          <w:szCs w:val="24"/>
          <w:highlight w:val="none"/>
        </w:rPr>
        <w:t>采购文件确定的事项；</w:t>
      </w:r>
    </w:p>
    <w:p w14:paraId="46370392">
      <w:pPr>
        <w:spacing w:before="1" w:line="215" w:lineRule="auto"/>
        <w:ind w:left="475"/>
        <w:rPr>
          <w:rFonts w:ascii="宋体" w:hAnsi="宋体" w:cs="宋体"/>
          <w:sz w:val="24"/>
          <w:szCs w:val="24"/>
          <w:highlight w:val="none"/>
        </w:rPr>
      </w:pPr>
      <w:r>
        <w:rPr>
          <w:rFonts w:ascii="宋体" w:hAnsi="宋体" w:cs="宋体"/>
          <w:spacing w:val="-2"/>
          <w:sz w:val="24"/>
          <w:szCs w:val="24"/>
          <w:highlight w:val="none"/>
        </w:rPr>
        <w:t>2.9.2 合同继续履行将损害国家利益和社会公共</w:t>
      </w:r>
      <w:r>
        <w:rPr>
          <w:rFonts w:ascii="宋体" w:hAnsi="宋体" w:cs="宋体"/>
          <w:spacing w:val="-1"/>
          <w:sz w:val="24"/>
          <w:szCs w:val="24"/>
          <w:highlight w:val="none"/>
        </w:rPr>
        <w:t>利益的，双方当事人应当以</w:t>
      </w:r>
    </w:p>
    <w:p w14:paraId="487BB7B2">
      <w:pPr>
        <w:rPr>
          <w:highlight w:val="none"/>
        </w:rPr>
        <w:sectPr>
          <w:headerReference r:id="rId12" w:type="default"/>
          <w:footerReference r:id="rId13" w:type="default"/>
          <w:pgSz w:w="11907" w:h="16839"/>
          <w:pgMar w:top="1118" w:right="1734" w:bottom="1233" w:left="1771" w:header="877" w:footer="982" w:gutter="0"/>
          <w:pgNumType w:fmt="decimal"/>
          <w:cols w:space="720" w:num="1"/>
        </w:sectPr>
      </w:pPr>
    </w:p>
    <w:p w14:paraId="5A76FB46">
      <w:pPr>
        <w:spacing w:line="354" w:lineRule="auto"/>
        <w:rPr>
          <w:highlight w:val="none"/>
        </w:rPr>
      </w:pPr>
    </w:p>
    <w:p w14:paraId="1723459D">
      <w:pPr>
        <w:spacing w:before="78" w:line="360" w:lineRule="auto"/>
        <w:ind w:left="41" w:right="10" w:firstLine="1"/>
        <w:rPr>
          <w:rFonts w:ascii="宋体" w:hAnsi="宋体" w:cs="宋体"/>
          <w:sz w:val="24"/>
          <w:szCs w:val="24"/>
          <w:highlight w:val="none"/>
        </w:rPr>
      </w:pPr>
      <w:r>
        <w:rPr>
          <w:rFonts w:ascii="宋体" w:hAnsi="宋体" w:cs="宋体"/>
          <w:spacing w:val="-8"/>
          <w:sz w:val="24"/>
          <w:szCs w:val="24"/>
          <w:highlight w:val="none"/>
        </w:rPr>
        <w:t>书面形式变更</w:t>
      </w:r>
      <w:r>
        <w:rPr>
          <w:rFonts w:ascii="宋体" w:hAnsi="宋体" w:cs="宋体"/>
          <w:spacing w:val="-5"/>
          <w:sz w:val="24"/>
          <w:szCs w:val="24"/>
          <w:highlight w:val="none"/>
        </w:rPr>
        <w:t>合</w:t>
      </w:r>
      <w:r>
        <w:rPr>
          <w:rFonts w:ascii="宋体" w:hAnsi="宋体" w:cs="宋体"/>
          <w:spacing w:val="-4"/>
          <w:sz w:val="24"/>
          <w:szCs w:val="24"/>
          <w:highlight w:val="none"/>
        </w:rPr>
        <w:t>同。有过错的一方应当承担赔偿责任， 双方当事人都有过错的，</w:t>
      </w:r>
      <w:r>
        <w:rPr>
          <w:rFonts w:ascii="宋体" w:hAnsi="宋体" w:cs="宋体"/>
          <w:sz w:val="24"/>
          <w:szCs w:val="24"/>
          <w:highlight w:val="none"/>
        </w:rPr>
        <w:t xml:space="preserve"> </w:t>
      </w:r>
      <w:r>
        <w:rPr>
          <w:rFonts w:ascii="宋体" w:hAnsi="宋体" w:cs="宋体"/>
          <w:spacing w:val="-7"/>
          <w:sz w:val="24"/>
          <w:szCs w:val="24"/>
          <w:highlight w:val="none"/>
        </w:rPr>
        <w:t>各</w:t>
      </w:r>
      <w:r>
        <w:rPr>
          <w:rFonts w:ascii="宋体" w:hAnsi="宋体" w:cs="宋体"/>
          <w:spacing w:val="-4"/>
          <w:sz w:val="24"/>
          <w:szCs w:val="24"/>
          <w:highlight w:val="none"/>
        </w:rPr>
        <w:t>自承担相应的责任。</w:t>
      </w:r>
    </w:p>
    <w:p w14:paraId="5AE591A8">
      <w:pPr>
        <w:spacing w:line="218" w:lineRule="auto"/>
        <w:ind w:left="477"/>
        <w:outlineLvl w:val="0"/>
        <w:rPr>
          <w:rFonts w:ascii="宋体" w:hAnsi="宋体" w:cs="宋体"/>
          <w:sz w:val="24"/>
          <w:szCs w:val="24"/>
          <w:highlight w:val="none"/>
        </w:rPr>
      </w:pPr>
      <w:r>
        <w:rPr>
          <w:rFonts w:ascii="宋体" w:hAnsi="宋体" w:cs="宋体"/>
          <w:spacing w:val="-9"/>
          <w:sz w:val="24"/>
          <w:szCs w:val="24"/>
          <w:highlight w:val="none"/>
        </w:rPr>
        <w:t>2</w:t>
      </w:r>
      <w:r>
        <w:rPr>
          <w:rFonts w:ascii="宋体" w:hAnsi="宋体" w:cs="宋体"/>
          <w:spacing w:val="-5"/>
          <w:sz w:val="24"/>
          <w:szCs w:val="24"/>
          <w:highlight w:val="none"/>
        </w:rPr>
        <w:t>.10 合同转让和分包</w:t>
      </w:r>
    </w:p>
    <w:p w14:paraId="198FE9F2">
      <w:pPr>
        <w:spacing w:before="184" w:line="360" w:lineRule="auto"/>
        <w:ind w:left="40" w:right="69" w:firstLine="433"/>
        <w:rPr>
          <w:rFonts w:ascii="宋体" w:hAnsi="宋体" w:cs="宋体"/>
          <w:sz w:val="24"/>
          <w:szCs w:val="24"/>
          <w:highlight w:val="none"/>
        </w:rPr>
      </w:pPr>
      <w:r>
        <w:rPr>
          <w:rFonts w:ascii="宋体" w:hAnsi="宋体" w:cs="宋体"/>
          <w:spacing w:val="-10"/>
          <w:sz w:val="24"/>
          <w:szCs w:val="24"/>
          <w:highlight w:val="none"/>
        </w:rPr>
        <w:t>合</w:t>
      </w:r>
      <w:r>
        <w:rPr>
          <w:rFonts w:ascii="宋体" w:hAnsi="宋体" w:cs="宋体"/>
          <w:spacing w:val="-8"/>
          <w:sz w:val="24"/>
          <w:szCs w:val="24"/>
          <w:highlight w:val="none"/>
        </w:rPr>
        <w:t>同</w:t>
      </w:r>
      <w:r>
        <w:rPr>
          <w:rFonts w:ascii="宋体" w:hAnsi="宋体" w:cs="宋体"/>
          <w:spacing w:val="-5"/>
          <w:sz w:val="24"/>
          <w:szCs w:val="24"/>
          <w:highlight w:val="none"/>
        </w:rPr>
        <w:t>的权利义务依法不得转让，但经甲方同意，乙方可以依法采取分包方式</w:t>
      </w:r>
      <w:r>
        <w:rPr>
          <w:rFonts w:ascii="宋体" w:hAnsi="宋体" w:cs="宋体"/>
          <w:spacing w:val="-18"/>
          <w:sz w:val="24"/>
          <w:szCs w:val="24"/>
          <w:highlight w:val="none"/>
        </w:rPr>
        <w:t>履</w:t>
      </w:r>
      <w:r>
        <w:rPr>
          <w:rFonts w:ascii="宋体" w:hAnsi="宋体" w:cs="宋体"/>
          <w:spacing w:val="-12"/>
          <w:sz w:val="24"/>
          <w:szCs w:val="24"/>
          <w:highlight w:val="none"/>
        </w:rPr>
        <w:t>行</w:t>
      </w:r>
      <w:r>
        <w:rPr>
          <w:rFonts w:ascii="宋体" w:hAnsi="宋体" w:cs="宋体"/>
          <w:spacing w:val="-9"/>
          <w:sz w:val="24"/>
          <w:szCs w:val="24"/>
          <w:highlight w:val="none"/>
        </w:rPr>
        <w:t>合同，即： 依法可以将合同项下的部分非主体、非关键性工作分包给他人完</w:t>
      </w:r>
      <w:r>
        <w:rPr>
          <w:rFonts w:ascii="宋体" w:hAnsi="宋体" w:cs="宋体"/>
          <w:spacing w:val="-12"/>
          <w:sz w:val="24"/>
          <w:szCs w:val="24"/>
          <w:highlight w:val="none"/>
        </w:rPr>
        <w:t>成</w:t>
      </w:r>
      <w:r>
        <w:rPr>
          <w:rFonts w:ascii="宋体" w:hAnsi="宋体" w:cs="宋体"/>
          <w:spacing w:val="-8"/>
          <w:sz w:val="24"/>
          <w:szCs w:val="24"/>
          <w:highlight w:val="none"/>
        </w:rPr>
        <w:t>，</w:t>
      </w:r>
      <w:r>
        <w:rPr>
          <w:rFonts w:ascii="宋体" w:hAnsi="宋体" w:cs="宋体"/>
          <w:spacing w:val="-6"/>
          <w:sz w:val="24"/>
          <w:szCs w:val="24"/>
          <w:highlight w:val="none"/>
        </w:rPr>
        <w:t>接受分包的人应当具备相应的资格条件，并不得再次分包，且乙方应就分包</w:t>
      </w:r>
      <w:r>
        <w:rPr>
          <w:rFonts w:ascii="宋体" w:hAnsi="宋体" w:cs="宋体"/>
          <w:spacing w:val="-2"/>
          <w:sz w:val="24"/>
          <w:szCs w:val="24"/>
          <w:highlight w:val="none"/>
        </w:rPr>
        <w:t>项目向甲方负责，并与分包供应</w:t>
      </w:r>
      <w:r>
        <w:rPr>
          <w:rFonts w:ascii="宋体" w:hAnsi="宋体" w:cs="宋体"/>
          <w:spacing w:val="-1"/>
          <w:sz w:val="24"/>
          <w:szCs w:val="24"/>
          <w:highlight w:val="none"/>
        </w:rPr>
        <w:t>商就分包项目向甲方承担连带责任。</w:t>
      </w:r>
    </w:p>
    <w:p w14:paraId="05E0C444">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2.11 不</w:t>
      </w:r>
      <w:r>
        <w:rPr>
          <w:rFonts w:ascii="宋体" w:hAnsi="宋体" w:cs="宋体"/>
          <w:sz w:val="24"/>
          <w:szCs w:val="24"/>
          <w:highlight w:val="none"/>
        </w:rPr>
        <w:t>可抗力</w:t>
      </w:r>
    </w:p>
    <w:p w14:paraId="739055CD">
      <w:pPr>
        <w:spacing w:before="183" w:line="360" w:lineRule="auto"/>
        <w:ind w:left="39" w:right="72" w:firstLine="436"/>
        <w:rPr>
          <w:rFonts w:ascii="宋体" w:hAnsi="宋体" w:cs="宋体"/>
          <w:sz w:val="24"/>
          <w:szCs w:val="24"/>
          <w:highlight w:val="none"/>
        </w:rPr>
      </w:pPr>
      <w:r>
        <w:rPr>
          <w:rFonts w:ascii="宋体" w:hAnsi="宋体" w:cs="宋体"/>
          <w:spacing w:val="-11"/>
          <w:sz w:val="24"/>
          <w:szCs w:val="24"/>
          <w:highlight w:val="none"/>
        </w:rPr>
        <w:t>2.11.1 如果任何一方遭遇法律规定的不可抗力， 致使合同履行受阻时， 履</w:t>
      </w:r>
      <w:r>
        <w:rPr>
          <w:rFonts w:ascii="宋体" w:hAnsi="宋体" w:cs="宋体"/>
          <w:spacing w:val="-5"/>
          <w:sz w:val="24"/>
          <w:szCs w:val="24"/>
          <w:highlight w:val="none"/>
        </w:rPr>
        <w:t>行</w:t>
      </w:r>
      <w:r>
        <w:rPr>
          <w:rFonts w:ascii="宋体" w:hAnsi="宋体" w:cs="宋体"/>
          <w:spacing w:val="-1"/>
          <w:sz w:val="24"/>
          <w:szCs w:val="24"/>
          <w:highlight w:val="none"/>
        </w:rPr>
        <w:t>合同的期限应予延长，延</w:t>
      </w:r>
      <w:r>
        <w:rPr>
          <w:rFonts w:ascii="宋体" w:hAnsi="宋体" w:cs="宋体"/>
          <w:sz w:val="24"/>
          <w:szCs w:val="24"/>
          <w:highlight w:val="none"/>
        </w:rPr>
        <w:t>长的期限应相当于不可抗力所影响的时间；</w:t>
      </w:r>
    </w:p>
    <w:p w14:paraId="1088AD76">
      <w:pPr>
        <w:spacing w:before="1" w:line="215" w:lineRule="auto"/>
        <w:ind w:left="475"/>
        <w:rPr>
          <w:rFonts w:ascii="宋体" w:hAnsi="宋体" w:cs="宋体"/>
          <w:sz w:val="24"/>
          <w:szCs w:val="24"/>
          <w:highlight w:val="none"/>
        </w:rPr>
      </w:pPr>
      <w:r>
        <w:rPr>
          <w:rFonts w:ascii="宋体" w:hAnsi="宋体" w:cs="宋体"/>
          <w:spacing w:val="-6"/>
          <w:sz w:val="24"/>
          <w:szCs w:val="24"/>
          <w:highlight w:val="none"/>
        </w:rPr>
        <w:t>2.11.2 因</w:t>
      </w:r>
      <w:r>
        <w:rPr>
          <w:rFonts w:ascii="宋体" w:hAnsi="宋体" w:cs="宋体"/>
          <w:spacing w:val="-3"/>
          <w:sz w:val="24"/>
          <w:szCs w:val="24"/>
          <w:highlight w:val="none"/>
        </w:rPr>
        <w:t>不可抗力致使不能实现合同目的的，当事人可以解除合同；</w:t>
      </w:r>
    </w:p>
    <w:p w14:paraId="6A2BDCEC">
      <w:pPr>
        <w:spacing w:before="186" w:line="353" w:lineRule="auto"/>
        <w:ind w:left="43" w:right="68" w:firstLine="431"/>
        <w:rPr>
          <w:rFonts w:ascii="宋体" w:hAnsi="宋体" w:cs="宋体"/>
          <w:sz w:val="24"/>
          <w:szCs w:val="24"/>
          <w:highlight w:val="none"/>
        </w:rPr>
      </w:pPr>
      <w:r>
        <w:rPr>
          <w:rFonts w:ascii="宋体" w:hAnsi="宋体" w:cs="宋体"/>
          <w:spacing w:val="-18"/>
          <w:sz w:val="24"/>
          <w:szCs w:val="24"/>
          <w:highlight w:val="none"/>
        </w:rPr>
        <w:t>2</w:t>
      </w:r>
      <w:r>
        <w:rPr>
          <w:rFonts w:ascii="宋体" w:hAnsi="宋体" w:cs="宋体"/>
          <w:spacing w:val="-17"/>
          <w:sz w:val="24"/>
          <w:szCs w:val="24"/>
          <w:highlight w:val="none"/>
        </w:rPr>
        <w:t>.</w:t>
      </w:r>
      <w:r>
        <w:rPr>
          <w:rFonts w:ascii="宋体" w:hAnsi="宋体" w:cs="宋体"/>
          <w:spacing w:val="-9"/>
          <w:sz w:val="24"/>
          <w:szCs w:val="24"/>
          <w:highlight w:val="none"/>
        </w:rPr>
        <w:t>11.3 因不可抗力致使合同有变更必要的， 双方当事人应在</w:t>
      </w:r>
      <w:r>
        <w:rPr>
          <w:rFonts w:ascii="宋体" w:hAnsi="宋体" w:cs="宋体"/>
          <w:spacing w:val="-3"/>
          <w:sz w:val="24"/>
          <w:szCs w:val="24"/>
          <w:highlight w:val="none"/>
          <w:u w:val="single"/>
        </w:rPr>
        <w:t>合同专用条款</w:t>
      </w:r>
      <w:r>
        <w:rPr>
          <w:rFonts w:ascii="宋体" w:hAnsi="宋体" w:cs="宋体"/>
          <w:spacing w:val="-3"/>
          <w:sz w:val="24"/>
          <w:szCs w:val="24"/>
          <w:highlight w:val="none"/>
        </w:rPr>
        <w:t>约</w:t>
      </w:r>
      <w:r>
        <w:rPr>
          <w:rFonts w:ascii="宋体" w:hAnsi="宋体" w:cs="宋体"/>
          <w:spacing w:val="-2"/>
          <w:sz w:val="24"/>
          <w:szCs w:val="24"/>
          <w:highlight w:val="none"/>
        </w:rPr>
        <w:t>定时</w:t>
      </w:r>
      <w:r>
        <w:rPr>
          <w:rFonts w:ascii="宋体" w:hAnsi="宋体" w:cs="宋体"/>
          <w:spacing w:val="-1"/>
          <w:sz w:val="24"/>
          <w:szCs w:val="24"/>
          <w:highlight w:val="none"/>
        </w:rPr>
        <w:t>间内以书面形式变更合同；</w:t>
      </w:r>
    </w:p>
    <w:p w14:paraId="4914D77A">
      <w:pPr>
        <w:spacing w:before="2" w:line="350" w:lineRule="auto"/>
        <w:ind w:left="42" w:right="68" w:firstLine="432"/>
        <w:rPr>
          <w:rFonts w:ascii="宋体" w:hAnsi="宋体" w:cs="宋体"/>
          <w:sz w:val="24"/>
          <w:szCs w:val="24"/>
          <w:highlight w:val="none"/>
        </w:rPr>
      </w:pPr>
      <w:r>
        <w:rPr>
          <w:rFonts w:ascii="宋体" w:hAnsi="宋体" w:cs="宋体"/>
          <w:spacing w:val="-12"/>
          <w:sz w:val="24"/>
          <w:szCs w:val="24"/>
          <w:highlight w:val="none"/>
        </w:rPr>
        <w:t>2.</w:t>
      </w:r>
      <w:r>
        <w:rPr>
          <w:rFonts w:ascii="宋体" w:hAnsi="宋体" w:cs="宋体"/>
          <w:spacing w:val="-11"/>
          <w:sz w:val="24"/>
          <w:szCs w:val="24"/>
          <w:highlight w:val="none"/>
        </w:rPr>
        <w:t>1</w:t>
      </w:r>
      <w:r>
        <w:rPr>
          <w:rFonts w:ascii="宋体" w:hAnsi="宋体" w:cs="宋体"/>
          <w:spacing w:val="-6"/>
          <w:sz w:val="24"/>
          <w:szCs w:val="24"/>
          <w:highlight w:val="none"/>
        </w:rPr>
        <w:t>1.4 受不可抗力影响的一方在不可抗力发生后，应在</w:t>
      </w:r>
      <w:r>
        <w:rPr>
          <w:rFonts w:ascii="宋体" w:hAnsi="宋体" w:cs="宋体"/>
          <w:spacing w:val="-9"/>
          <w:sz w:val="24"/>
          <w:szCs w:val="24"/>
          <w:highlight w:val="none"/>
          <w:u w:val="single"/>
        </w:rPr>
        <w:t>合同专用条款</w:t>
      </w:r>
      <w:r>
        <w:rPr>
          <w:rFonts w:ascii="宋体" w:hAnsi="宋体" w:cs="宋体"/>
          <w:spacing w:val="-6"/>
          <w:sz w:val="24"/>
          <w:szCs w:val="24"/>
          <w:highlight w:val="none"/>
        </w:rPr>
        <w:t>约定时</w:t>
      </w:r>
      <w:r>
        <w:rPr>
          <w:rFonts w:ascii="宋体" w:hAnsi="宋体" w:cs="宋体"/>
          <w:sz w:val="24"/>
          <w:szCs w:val="24"/>
          <w:highlight w:val="none"/>
        </w:rPr>
        <w:t xml:space="preserve"> </w:t>
      </w:r>
      <w:r>
        <w:rPr>
          <w:rFonts w:ascii="宋体" w:hAnsi="宋体" w:cs="宋体"/>
          <w:spacing w:val="-14"/>
          <w:sz w:val="24"/>
          <w:szCs w:val="24"/>
          <w:highlight w:val="none"/>
        </w:rPr>
        <w:t>间</w:t>
      </w:r>
      <w:r>
        <w:rPr>
          <w:rFonts w:ascii="宋体" w:hAnsi="宋体" w:cs="宋体"/>
          <w:spacing w:val="-11"/>
          <w:sz w:val="24"/>
          <w:szCs w:val="24"/>
          <w:highlight w:val="none"/>
        </w:rPr>
        <w:t>内以书面形式通知对方当事人， 并在</w:t>
      </w:r>
      <w:r>
        <w:rPr>
          <w:rFonts w:ascii="宋体" w:hAnsi="宋体" w:cs="宋体"/>
          <w:spacing w:val="-6"/>
          <w:sz w:val="24"/>
          <w:szCs w:val="24"/>
          <w:highlight w:val="none"/>
          <w:u w:val="single"/>
        </w:rPr>
        <w:t>合同专用条款</w:t>
      </w:r>
      <w:r>
        <w:rPr>
          <w:rFonts w:ascii="宋体" w:hAnsi="宋体" w:cs="宋体"/>
          <w:spacing w:val="-11"/>
          <w:sz w:val="24"/>
          <w:szCs w:val="24"/>
          <w:highlight w:val="none"/>
        </w:rPr>
        <w:t>约定时间内， 将有关部门出</w:t>
      </w:r>
      <w:r>
        <w:rPr>
          <w:rFonts w:ascii="宋体" w:hAnsi="宋体" w:cs="宋体"/>
          <w:spacing w:val="-1"/>
          <w:sz w:val="24"/>
          <w:szCs w:val="24"/>
          <w:highlight w:val="none"/>
        </w:rPr>
        <w:t>具的证明文件送达对方当事人。</w:t>
      </w:r>
    </w:p>
    <w:p w14:paraId="5093AE35">
      <w:pPr>
        <w:spacing w:before="1" w:line="218"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9"/>
          <w:sz w:val="24"/>
          <w:szCs w:val="24"/>
          <w:highlight w:val="none"/>
        </w:rPr>
        <w:t>.12 税费</w:t>
      </w:r>
    </w:p>
    <w:p w14:paraId="083F09C0">
      <w:pPr>
        <w:spacing w:before="183" w:line="219" w:lineRule="auto"/>
        <w:ind w:left="477"/>
        <w:rPr>
          <w:rFonts w:ascii="宋体" w:hAnsi="宋体" w:cs="宋体"/>
          <w:sz w:val="24"/>
          <w:szCs w:val="24"/>
          <w:highlight w:val="none"/>
        </w:rPr>
      </w:pPr>
      <w:r>
        <w:rPr>
          <w:rFonts w:ascii="宋体" w:hAnsi="宋体" w:cs="宋体"/>
          <w:spacing w:val="-1"/>
          <w:sz w:val="24"/>
          <w:szCs w:val="24"/>
          <w:highlight w:val="none"/>
        </w:rPr>
        <w:t>与合同有关的一切税费，均按</w:t>
      </w:r>
      <w:r>
        <w:rPr>
          <w:rFonts w:ascii="宋体" w:hAnsi="宋体" w:cs="宋体"/>
          <w:sz w:val="24"/>
          <w:szCs w:val="24"/>
          <w:highlight w:val="none"/>
        </w:rPr>
        <w:t>照中华人民共和国法律的相关规定缴纳。</w:t>
      </w:r>
    </w:p>
    <w:p w14:paraId="6D7A8FE0">
      <w:pPr>
        <w:spacing w:before="183" w:line="220"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.13 乙方破产</w:t>
      </w:r>
    </w:p>
    <w:p w14:paraId="3BD083EB">
      <w:pPr>
        <w:spacing w:before="183" w:line="360" w:lineRule="auto"/>
        <w:ind w:left="37" w:right="69" w:firstLine="439"/>
        <w:rPr>
          <w:rFonts w:ascii="宋体" w:hAnsi="宋体" w:cs="宋体"/>
          <w:sz w:val="24"/>
          <w:szCs w:val="24"/>
          <w:highlight w:val="none"/>
        </w:rPr>
      </w:pPr>
      <w:r>
        <w:rPr>
          <w:rFonts w:ascii="宋体" w:hAnsi="宋体" w:cs="宋体"/>
          <w:spacing w:val="-10"/>
          <w:sz w:val="24"/>
          <w:szCs w:val="24"/>
          <w:highlight w:val="none"/>
        </w:rPr>
        <w:t>如果</w:t>
      </w:r>
      <w:r>
        <w:rPr>
          <w:rFonts w:ascii="宋体" w:hAnsi="宋体" w:cs="宋体"/>
          <w:spacing w:val="-7"/>
          <w:sz w:val="24"/>
          <w:szCs w:val="24"/>
          <w:highlight w:val="none"/>
        </w:rPr>
        <w:t>乙</w:t>
      </w:r>
      <w:r>
        <w:rPr>
          <w:rFonts w:ascii="宋体" w:hAnsi="宋体" w:cs="宋体"/>
          <w:spacing w:val="-5"/>
          <w:sz w:val="24"/>
          <w:szCs w:val="24"/>
          <w:highlight w:val="none"/>
        </w:rPr>
        <w:t>方破产导致合同无法履行时，甲方可以书面形式通知乙方终止合同且</w:t>
      </w:r>
      <w:r>
        <w:rPr>
          <w:rFonts w:ascii="宋体" w:hAnsi="宋体" w:cs="宋体"/>
          <w:spacing w:val="-3"/>
          <w:sz w:val="24"/>
          <w:szCs w:val="24"/>
          <w:highlight w:val="none"/>
        </w:rPr>
        <w:t>不给予乙方任何补偿和赔偿，但合同的终止不损害或不影响甲方已经采取或将</w:t>
      </w:r>
      <w:r>
        <w:rPr>
          <w:rFonts w:ascii="宋体" w:hAnsi="宋体" w:cs="宋体"/>
          <w:sz w:val="24"/>
          <w:szCs w:val="24"/>
          <w:highlight w:val="none"/>
        </w:rPr>
        <w:t>要</w:t>
      </w:r>
      <w:r>
        <w:rPr>
          <w:rFonts w:ascii="宋体" w:hAnsi="宋体" w:cs="宋体"/>
          <w:spacing w:val="-1"/>
          <w:sz w:val="24"/>
          <w:szCs w:val="24"/>
          <w:highlight w:val="none"/>
        </w:rPr>
        <w:t>采取的任何要求乙</w:t>
      </w:r>
      <w:r>
        <w:rPr>
          <w:rFonts w:ascii="宋体" w:hAnsi="宋体" w:cs="宋体"/>
          <w:sz w:val="24"/>
          <w:szCs w:val="24"/>
          <w:highlight w:val="none"/>
        </w:rPr>
        <w:t>方支付违约金、赔偿损失等的行动或补救措施的权利。</w:t>
      </w:r>
    </w:p>
    <w:p w14:paraId="0D02CB4F">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.14 合同中止、终止</w:t>
      </w:r>
    </w:p>
    <w:p w14:paraId="14EC16A4">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2.14.1 双方当事人不得擅自中止或者终止合同；</w:t>
      </w:r>
    </w:p>
    <w:p w14:paraId="4924A537">
      <w:pPr>
        <w:spacing w:before="182" w:line="216" w:lineRule="auto"/>
        <w:ind w:left="475"/>
        <w:rPr>
          <w:rFonts w:ascii="宋体" w:hAnsi="宋体" w:cs="宋体"/>
          <w:sz w:val="24"/>
          <w:szCs w:val="24"/>
          <w:highlight w:val="none"/>
        </w:rPr>
      </w:pPr>
      <w:r>
        <w:rPr>
          <w:rFonts w:ascii="宋体" w:hAnsi="宋体" w:cs="宋体"/>
          <w:spacing w:val="-8"/>
          <w:sz w:val="24"/>
          <w:szCs w:val="24"/>
          <w:highlight w:val="none"/>
        </w:rPr>
        <w:t>2.14.2 合同继续履行将损害国家利益和社会公共利益的， 双方当事人应当</w:t>
      </w:r>
      <w:r>
        <w:rPr>
          <w:rFonts w:ascii="宋体" w:hAnsi="宋体" w:cs="宋体"/>
          <w:spacing w:val="-4"/>
          <w:sz w:val="24"/>
          <w:szCs w:val="24"/>
          <w:highlight w:val="none"/>
        </w:rPr>
        <w:t>中</w:t>
      </w:r>
      <w:r>
        <w:rPr>
          <w:rFonts w:ascii="宋体" w:hAnsi="宋体" w:cs="宋体"/>
          <w:spacing w:val="-18"/>
          <w:sz w:val="24"/>
          <w:szCs w:val="24"/>
          <w:highlight w:val="none"/>
        </w:rPr>
        <w:t>止</w:t>
      </w:r>
      <w:r>
        <w:rPr>
          <w:rFonts w:ascii="宋体" w:hAnsi="宋体" w:cs="宋体"/>
          <w:spacing w:val="-11"/>
          <w:sz w:val="24"/>
          <w:szCs w:val="24"/>
          <w:highlight w:val="none"/>
        </w:rPr>
        <w:t>或</w:t>
      </w:r>
      <w:r>
        <w:rPr>
          <w:rFonts w:ascii="宋体" w:hAnsi="宋体" w:cs="宋体"/>
          <w:spacing w:val="-9"/>
          <w:sz w:val="24"/>
          <w:szCs w:val="24"/>
          <w:highlight w:val="none"/>
        </w:rPr>
        <w:t>者终止合同。有过错的一方应当承担赔偿责任，双方当事人都有过错的， 各</w:t>
      </w:r>
      <w:r>
        <w:rPr>
          <w:rFonts w:ascii="宋体" w:hAnsi="宋体" w:cs="宋体"/>
          <w:spacing w:val="-11"/>
          <w:sz w:val="24"/>
          <w:szCs w:val="24"/>
          <w:highlight w:val="none"/>
        </w:rPr>
        <w:t>自</w:t>
      </w:r>
      <w:r>
        <w:rPr>
          <w:rFonts w:ascii="宋体" w:hAnsi="宋体" w:cs="宋体"/>
          <w:spacing w:val="-8"/>
          <w:sz w:val="24"/>
          <w:szCs w:val="24"/>
          <w:highlight w:val="none"/>
        </w:rPr>
        <w:t>承担相应的责任。</w:t>
      </w:r>
    </w:p>
    <w:p w14:paraId="049D9C9B">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2.15</w:t>
      </w:r>
      <w:r>
        <w:rPr>
          <w:rFonts w:ascii="宋体" w:hAnsi="宋体" w:cs="宋体"/>
          <w:sz w:val="24"/>
          <w:szCs w:val="24"/>
          <w:highlight w:val="none"/>
        </w:rPr>
        <w:t xml:space="preserve"> 检验和验收</w:t>
      </w:r>
    </w:p>
    <w:p w14:paraId="676E0C3E">
      <w:pPr>
        <w:spacing w:before="182" w:line="211" w:lineRule="auto"/>
        <w:ind w:left="475"/>
        <w:rPr>
          <w:rFonts w:ascii="宋体" w:hAnsi="宋体" w:cs="宋体"/>
          <w:spacing w:val="-5"/>
          <w:sz w:val="24"/>
          <w:szCs w:val="24"/>
          <w:highlight w:val="none"/>
          <w:u w:val="single"/>
        </w:rPr>
      </w:pPr>
      <w:r>
        <w:rPr>
          <w:rFonts w:ascii="宋体" w:hAnsi="宋体" w:cs="宋体"/>
          <w:spacing w:val="-10"/>
          <w:sz w:val="24"/>
          <w:szCs w:val="24"/>
          <w:highlight w:val="none"/>
        </w:rPr>
        <w:t>2.1</w:t>
      </w:r>
      <w:r>
        <w:rPr>
          <w:rFonts w:ascii="宋体" w:hAnsi="宋体" w:cs="宋体"/>
          <w:spacing w:val="-6"/>
          <w:sz w:val="24"/>
          <w:szCs w:val="24"/>
          <w:highlight w:val="none"/>
        </w:rPr>
        <w:t>5</w:t>
      </w:r>
      <w:r>
        <w:rPr>
          <w:rFonts w:ascii="宋体" w:hAnsi="宋体" w:cs="宋体"/>
          <w:spacing w:val="-5"/>
          <w:sz w:val="24"/>
          <w:szCs w:val="24"/>
          <w:highlight w:val="none"/>
        </w:rPr>
        <w:t>.1 乙方按照</w:t>
      </w:r>
      <w:r>
        <w:rPr>
          <w:rFonts w:ascii="宋体" w:hAnsi="宋体" w:cs="宋体"/>
          <w:sz w:val="24"/>
          <w:szCs w:val="24"/>
          <w:highlight w:val="none"/>
          <w:u w:val="single"/>
        </w:rPr>
        <w:t>合同专用条款</w:t>
      </w:r>
      <w:r>
        <w:rPr>
          <w:rFonts w:ascii="宋体" w:hAnsi="宋体" w:cs="宋体"/>
          <w:spacing w:val="-5"/>
          <w:sz w:val="24"/>
          <w:szCs w:val="24"/>
          <w:highlight w:val="none"/>
        </w:rPr>
        <w:t>的约定，定期提交服务报告，甲方按照</w:t>
      </w:r>
      <w:r>
        <w:rPr>
          <w:rFonts w:ascii="宋体" w:hAnsi="宋体" w:cs="宋体"/>
          <w:spacing w:val="-5"/>
          <w:sz w:val="24"/>
          <w:szCs w:val="24"/>
          <w:highlight w:val="none"/>
          <w:u w:val="single"/>
        </w:rPr>
        <w:t>合同专</w:t>
      </w:r>
    </w:p>
    <w:p w14:paraId="2C4A2441">
      <w:pPr>
        <w:rPr>
          <w:rFonts w:ascii="宋体" w:hAnsi="宋体" w:cs="宋体"/>
          <w:spacing w:val="-5"/>
          <w:sz w:val="24"/>
          <w:szCs w:val="24"/>
          <w:highlight w:val="none"/>
          <w:u w:val="single"/>
        </w:rPr>
        <w:sectPr>
          <w:headerReference r:id="rId14" w:type="default"/>
          <w:footerReference r:id="rId15" w:type="default"/>
          <w:pgSz w:w="11907" w:h="16839"/>
          <w:pgMar w:top="1118" w:right="1729" w:bottom="1233" w:left="1771" w:header="877" w:footer="982" w:gutter="0"/>
          <w:pgNumType w:fmt="decimal"/>
          <w:cols w:space="720" w:num="1"/>
        </w:sectPr>
      </w:pPr>
    </w:p>
    <w:p w14:paraId="4A42EC8B">
      <w:pPr>
        <w:spacing w:before="82" w:line="212" w:lineRule="auto"/>
        <w:ind w:left="28"/>
        <w:rPr>
          <w:rFonts w:ascii="宋体" w:hAnsi="宋体" w:cs="宋体"/>
          <w:sz w:val="24"/>
          <w:szCs w:val="24"/>
          <w:highlight w:val="none"/>
        </w:rPr>
      </w:pPr>
      <w:r>
        <w:rPr>
          <w:rFonts w:ascii="宋体" w:hAnsi="宋体" w:cs="宋体"/>
          <w:spacing w:val="-5"/>
          <w:sz w:val="24"/>
          <w:szCs w:val="24"/>
          <w:highlight w:val="none"/>
          <w:u w:val="single"/>
        </w:rPr>
        <w:t>用条款</w:t>
      </w:r>
      <w:r>
        <w:rPr>
          <w:rFonts w:ascii="宋体" w:hAnsi="宋体" w:cs="宋体"/>
          <w:spacing w:val="-2"/>
          <w:sz w:val="24"/>
          <w:szCs w:val="24"/>
          <w:highlight w:val="none"/>
        </w:rPr>
        <w:t>的约定进行定期验收；</w:t>
      </w:r>
    </w:p>
    <w:p w14:paraId="6585DF8E">
      <w:pPr>
        <w:spacing w:before="180" w:line="360" w:lineRule="auto"/>
        <w:ind w:left="36" w:right="67" w:firstLine="439"/>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w:t>
      </w:r>
      <w:r>
        <w:rPr>
          <w:rFonts w:ascii="宋体" w:hAnsi="宋体" w:cs="宋体"/>
          <w:spacing w:val="-5"/>
          <w:sz w:val="24"/>
          <w:szCs w:val="24"/>
          <w:highlight w:val="none"/>
        </w:rPr>
        <w:t>5.2 合同期满或者履行完毕后，甲方有权组织(包括依法邀请国家认可的</w:t>
      </w:r>
      <w:r>
        <w:rPr>
          <w:rFonts w:ascii="宋体" w:hAnsi="宋体" w:cs="宋体"/>
          <w:spacing w:val="-12"/>
          <w:sz w:val="24"/>
          <w:szCs w:val="24"/>
          <w:highlight w:val="none"/>
        </w:rPr>
        <w:t>质量检测机构参加) 对乙方履约的验收， 即：按照合同约定的标准，组织对乙</w:t>
      </w:r>
      <w:r>
        <w:rPr>
          <w:rFonts w:ascii="宋体" w:hAnsi="宋体" w:cs="宋体"/>
          <w:spacing w:val="-8"/>
          <w:sz w:val="24"/>
          <w:szCs w:val="24"/>
          <w:highlight w:val="none"/>
        </w:rPr>
        <w:t>方</w:t>
      </w:r>
      <w:r>
        <w:rPr>
          <w:rFonts w:ascii="宋体" w:hAnsi="宋体" w:cs="宋体"/>
          <w:spacing w:val="-18"/>
          <w:sz w:val="24"/>
          <w:szCs w:val="24"/>
          <w:highlight w:val="none"/>
        </w:rPr>
        <w:t>履</w:t>
      </w:r>
      <w:r>
        <w:rPr>
          <w:rFonts w:ascii="宋体" w:hAnsi="宋体" w:cs="宋体"/>
          <w:spacing w:val="-12"/>
          <w:sz w:val="24"/>
          <w:szCs w:val="24"/>
          <w:highlight w:val="none"/>
        </w:rPr>
        <w:t>约情况的验收，并出具验收书；向社会公众提供的公共服务项目，验收时应当</w:t>
      </w:r>
      <w:r>
        <w:rPr>
          <w:rFonts w:ascii="宋体" w:hAnsi="宋体" w:cs="宋体"/>
          <w:spacing w:val="-4"/>
          <w:sz w:val="24"/>
          <w:szCs w:val="24"/>
          <w:highlight w:val="none"/>
        </w:rPr>
        <w:t>邀请服务对</w:t>
      </w:r>
      <w:r>
        <w:rPr>
          <w:rFonts w:ascii="宋体" w:hAnsi="宋体" w:cs="宋体"/>
          <w:spacing w:val="-2"/>
          <w:sz w:val="24"/>
          <w:szCs w:val="24"/>
          <w:highlight w:val="none"/>
        </w:rPr>
        <w:t>象参与并出具意见，验收结果应当向社会公告；</w:t>
      </w:r>
    </w:p>
    <w:p w14:paraId="078F5F10">
      <w:pPr>
        <w:spacing w:before="1" w:line="345" w:lineRule="auto"/>
        <w:ind w:left="28" w:firstLine="446"/>
        <w:rPr>
          <w:rFonts w:ascii="宋体" w:hAnsi="宋体" w:cs="宋体"/>
          <w:sz w:val="25"/>
          <w:szCs w:val="25"/>
          <w:highlight w:val="none"/>
        </w:rPr>
      </w:pPr>
      <w:r>
        <w:rPr>
          <w:rFonts w:ascii="宋体" w:hAnsi="宋体" w:cs="宋体"/>
          <w:spacing w:val="-4"/>
          <w:sz w:val="24"/>
          <w:szCs w:val="24"/>
          <w:highlight w:val="none"/>
        </w:rPr>
        <w:t>2.15.3 检验和验收标准、程序等具体内容以及前述验收书的效力详见</w:t>
      </w:r>
      <w:r>
        <w:rPr>
          <w:rFonts w:ascii="宋体" w:hAnsi="宋体" w:cs="宋体"/>
          <w:spacing w:val="-12"/>
          <w:sz w:val="24"/>
          <w:szCs w:val="24"/>
          <w:highlight w:val="none"/>
          <w:u w:val="single"/>
        </w:rPr>
        <w:t>合同专 用条款。</w:t>
      </w:r>
    </w:p>
    <w:p w14:paraId="5EC8D0F2">
      <w:pPr>
        <w:spacing w:line="219" w:lineRule="auto"/>
        <w:ind w:left="477"/>
        <w:outlineLvl w:val="0"/>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4"/>
          <w:sz w:val="24"/>
          <w:szCs w:val="24"/>
          <w:highlight w:val="none"/>
        </w:rPr>
        <w:t>.</w:t>
      </w:r>
      <w:r>
        <w:rPr>
          <w:rFonts w:ascii="宋体" w:hAnsi="宋体" w:cs="宋体"/>
          <w:spacing w:val="-3"/>
          <w:sz w:val="24"/>
          <w:szCs w:val="24"/>
          <w:highlight w:val="none"/>
        </w:rPr>
        <w:t>16 合同使用的文字和适用的法律</w:t>
      </w:r>
    </w:p>
    <w:p w14:paraId="6756629E">
      <w:pPr>
        <w:spacing w:before="183" w:line="219" w:lineRule="auto"/>
        <w:ind w:left="475"/>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3"/>
          <w:sz w:val="24"/>
          <w:szCs w:val="24"/>
          <w:highlight w:val="none"/>
        </w:rPr>
        <w:t>16.1 合同使用汉语书就、变更和解释；</w:t>
      </w:r>
    </w:p>
    <w:p w14:paraId="1AF7DF57">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2.16.2 合同适用中华人民共和国法律</w:t>
      </w:r>
      <w:r>
        <w:rPr>
          <w:rFonts w:ascii="宋体" w:hAnsi="宋体" w:cs="宋体"/>
          <w:spacing w:val="-4"/>
          <w:sz w:val="24"/>
          <w:szCs w:val="24"/>
          <w:highlight w:val="none"/>
        </w:rPr>
        <w:t>。</w:t>
      </w:r>
    </w:p>
    <w:p w14:paraId="33A32D6D">
      <w:pPr>
        <w:spacing w:before="183" w:line="220" w:lineRule="auto"/>
        <w:ind w:left="477"/>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6"/>
          <w:sz w:val="24"/>
          <w:szCs w:val="24"/>
          <w:highlight w:val="none"/>
        </w:rPr>
        <w:t>.17 履约保证金</w:t>
      </w:r>
    </w:p>
    <w:p w14:paraId="32DC2007">
      <w:pPr>
        <w:spacing w:before="182" w:line="211" w:lineRule="auto"/>
        <w:ind w:left="475"/>
        <w:rPr>
          <w:rFonts w:ascii="宋体" w:hAnsi="宋体" w:cs="宋体"/>
          <w:spacing w:val="-10"/>
          <w:sz w:val="24"/>
          <w:szCs w:val="24"/>
          <w:highlight w:val="none"/>
        </w:rPr>
      </w:pPr>
      <w:r>
        <w:rPr>
          <w:rFonts w:ascii="宋体" w:hAnsi="宋体" w:cs="宋体"/>
          <w:spacing w:val="-9"/>
          <w:sz w:val="24"/>
          <w:szCs w:val="24"/>
          <w:highlight w:val="none"/>
        </w:rPr>
        <w:t>2.17.1 采购文件要求乙方提交履约保证金的，乙方应按</w:t>
      </w:r>
      <w:r>
        <w:rPr>
          <w:rFonts w:hint="eastAsia" w:ascii="宋体" w:hAnsi="宋体" w:cs="宋体"/>
          <w:spacing w:val="-5"/>
          <w:sz w:val="24"/>
          <w:szCs w:val="24"/>
          <w:highlight w:val="none"/>
          <w:u w:val="single"/>
        </w:rPr>
        <w:t>供应商须知前附表的</w:t>
      </w:r>
      <w:r>
        <w:rPr>
          <w:rFonts w:ascii="宋体" w:hAnsi="宋体" w:cs="宋体"/>
          <w:spacing w:val="-9"/>
          <w:sz w:val="24"/>
          <w:szCs w:val="24"/>
          <w:highlight w:val="none"/>
        </w:rPr>
        <w:t>约定</w:t>
      </w:r>
    </w:p>
    <w:p w14:paraId="40746982">
      <w:pPr>
        <w:spacing w:before="182" w:line="360" w:lineRule="auto"/>
        <w:ind w:left="39" w:right="8"/>
        <w:rPr>
          <w:rFonts w:ascii="宋体" w:hAnsi="宋体" w:cs="宋体"/>
          <w:sz w:val="24"/>
          <w:szCs w:val="24"/>
          <w:highlight w:val="none"/>
        </w:rPr>
      </w:pPr>
      <w:r>
        <w:rPr>
          <w:rFonts w:ascii="宋体" w:hAnsi="宋体" w:cs="宋体"/>
          <w:spacing w:val="-10"/>
          <w:sz w:val="24"/>
          <w:szCs w:val="24"/>
          <w:highlight w:val="none"/>
        </w:rPr>
        <w:t>提</w:t>
      </w:r>
      <w:r>
        <w:rPr>
          <w:rFonts w:ascii="宋体" w:hAnsi="宋体" w:cs="宋体"/>
          <w:spacing w:val="-6"/>
          <w:sz w:val="24"/>
          <w:szCs w:val="24"/>
          <w:highlight w:val="none"/>
        </w:rPr>
        <w:t xml:space="preserve">交不超过合同价 </w:t>
      </w:r>
      <w:r>
        <w:rPr>
          <w:rFonts w:hint="eastAsia" w:ascii="宋体" w:hAnsi="宋体" w:cs="宋体"/>
          <w:spacing w:val="-6"/>
          <w:sz w:val="24"/>
          <w:szCs w:val="24"/>
          <w:highlight w:val="none"/>
        </w:rPr>
        <w:t>2.5</w:t>
      </w:r>
      <w:r>
        <w:rPr>
          <w:rFonts w:ascii="宋体" w:hAnsi="宋体" w:cs="宋体"/>
          <w:spacing w:val="-6"/>
          <w:sz w:val="24"/>
          <w:szCs w:val="24"/>
          <w:highlight w:val="none"/>
        </w:rPr>
        <w:t>%的履约保证金；</w:t>
      </w:r>
    </w:p>
    <w:p w14:paraId="4B87F1EC">
      <w:pPr>
        <w:spacing w:before="3" w:line="359" w:lineRule="auto"/>
        <w:ind w:left="39" w:right="68" w:firstLine="436"/>
        <w:rPr>
          <w:rFonts w:ascii="宋体" w:hAnsi="宋体" w:cs="宋体"/>
          <w:sz w:val="24"/>
          <w:szCs w:val="24"/>
          <w:highlight w:val="none"/>
        </w:rPr>
      </w:pPr>
      <w:r>
        <w:rPr>
          <w:rFonts w:ascii="宋体" w:hAnsi="宋体" w:cs="宋体"/>
          <w:spacing w:val="-8"/>
          <w:sz w:val="24"/>
          <w:szCs w:val="24"/>
          <w:highlight w:val="none"/>
        </w:rPr>
        <w:t>2.17.</w:t>
      </w:r>
      <w:r>
        <w:rPr>
          <w:rFonts w:hint="eastAsia" w:ascii="宋体" w:hAnsi="宋体" w:cs="宋体"/>
          <w:spacing w:val="-8"/>
          <w:sz w:val="24"/>
          <w:szCs w:val="24"/>
          <w:highlight w:val="none"/>
          <w:lang w:val="en-US" w:eastAsia="zh-CN"/>
        </w:rPr>
        <w:t>2</w:t>
      </w:r>
      <w:r>
        <w:rPr>
          <w:rFonts w:ascii="宋体" w:hAnsi="宋体" w:cs="宋体"/>
          <w:spacing w:val="-8"/>
          <w:sz w:val="24"/>
          <w:szCs w:val="24"/>
          <w:highlight w:val="none"/>
        </w:rPr>
        <w:t xml:space="preserve"> 如果乙方不履行合同，履约保证金不予退还； 如果乙方未能按合同</w:t>
      </w:r>
      <w:r>
        <w:rPr>
          <w:rFonts w:ascii="宋体" w:hAnsi="宋体" w:cs="宋体"/>
          <w:spacing w:val="-6"/>
          <w:sz w:val="24"/>
          <w:szCs w:val="24"/>
          <w:highlight w:val="none"/>
        </w:rPr>
        <w:t>约</w:t>
      </w:r>
      <w:r>
        <w:rPr>
          <w:rFonts w:ascii="宋体" w:hAnsi="宋体" w:cs="宋体"/>
          <w:spacing w:val="-12"/>
          <w:sz w:val="24"/>
          <w:szCs w:val="24"/>
          <w:highlight w:val="none"/>
        </w:rPr>
        <w:t>定</w:t>
      </w:r>
      <w:r>
        <w:rPr>
          <w:rFonts w:ascii="宋体" w:hAnsi="宋体" w:cs="宋体"/>
          <w:spacing w:val="-10"/>
          <w:sz w:val="24"/>
          <w:szCs w:val="24"/>
          <w:highlight w:val="none"/>
        </w:rPr>
        <w:t>全</w:t>
      </w:r>
      <w:r>
        <w:rPr>
          <w:rFonts w:ascii="宋体" w:hAnsi="宋体" w:cs="宋体"/>
          <w:spacing w:val="-6"/>
          <w:sz w:val="24"/>
          <w:szCs w:val="24"/>
          <w:highlight w:val="none"/>
        </w:rPr>
        <w:t>面履行义务，那么甲方有权从履约保证金中取得补偿或赔偿，同时不影响甲</w:t>
      </w:r>
      <w:r>
        <w:rPr>
          <w:rFonts w:ascii="宋体" w:hAnsi="宋体" w:cs="宋体"/>
          <w:spacing w:val="-2"/>
          <w:sz w:val="24"/>
          <w:szCs w:val="24"/>
          <w:highlight w:val="none"/>
        </w:rPr>
        <w:t>方要求乙方承担合同约定的超过履约</w:t>
      </w:r>
      <w:r>
        <w:rPr>
          <w:rFonts w:ascii="宋体" w:hAnsi="宋体" w:cs="宋体"/>
          <w:spacing w:val="-1"/>
          <w:sz w:val="24"/>
          <w:szCs w:val="24"/>
          <w:highlight w:val="none"/>
        </w:rPr>
        <w:t>保证金的违约责任的权利。</w:t>
      </w:r>
    </w:p>
    <w:p w14:paraId="5F2A665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2.18 合</w:t>
      </w:r>
      <w:r>
        <w:rPr>
          <w:rFonts w:ascii="宋体" w:hAnsi="宋体" w:cs="宋体"/>
          <w:sz w:val="24"/>
          <w:szCs w:val="24"/>
          <w:highlight w:val="none"/>
        </w:rPr>
        <w:t>同份数</w:t>
      </w:r>
    </w:p>
    <w:p w14:paraId="4126BD37">
      <w:pPr>
        <w:spacing w:before="182" w:line="211" w:lineRule="auto"/>
        <w:ind w:left="473"/>
        <w:rPr>
          <w:rFonts w:ascii="宋体" w:hAnsi="宋体" w:cs="宋体"/>
          <w:sz w:val="24"/>
          <w:szCs w:val="24"/>
          <w:highlight w:val="none"/>
        </w:rPr>
      </w:pPr>
      <w:r>
        <w:rPr>
          <w:rFonts w:ascii="宋体" w:hAnsi="宋体" w:cs="宋体"/>
          <w:spacing w:val="-4"/>
          <w:sz w:val="24"/>
          <w:szCs w:val="24"/>
          <w:highlight w:val="none"/>
        </w:rPr>
        <w:t>合同份数按</w:t>
      </w:r>
      <w:r>
        <w:rPr>
          <w:rFonts w:ascii="宋体" w:hAnsi="宋体" w:cs="宋体"/>
          <w:spacing w:val="-1"/>
          <w:sz w:val="24"/>
          <w:szCs w:val="24"/>
          <w:highlight w:val="none"/>
          <w:u w:val="single"/>
        </w:rPr>
        <w:t>合同专用条款</w:t>
      </w:r>
      <w:r>
        <w:rPr>
          <w:rFonts w:ascii="宋体" w:hAnsi="宋体" w:cs="宋体"/>
          <w:spacing w:val="-2"/>
          <w:sz w:val="24"/>
          <w:szCs w:val="24"/>
          <w:highlight w:val="none"/>
        </w:rPr>
        <w:t>规定，每份均具有同等法律效力。</w:t>
      </w:r>
    </w:p>
    <w:p w14:paraId="061CA788">
      <w:pPr>
        <w:rPr>
          <w:highlight w:val="none"/>
        </w:rPr>
        <w:sectPr>
          <w:headerReference r:id="rId16" w:type="default"/>
          <w:footerReference r:id="rId17" w:type="default"/>
          <w:pgSz w:w="11907" w:h="16839"/>
          <w:pgMar w:top="1118" w:right="1731" w:bottom="1233" w:left="1771" w:header="877" w:footer="982" w:gutter="0"/>
          <w:pgNumType w:fmt="decimal"/>
          <w:cols w:space="720" w:num="1"/>
        </w:sectPr>
      </w:pPr>
    </w:p>
    <w:p w14:paraId="59AA9F25">
      <w:pPr>
        <w:spacing w:before="78" w:line="218" w:lineRule="auto"/>
        <w:ind w:left="2990"/>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三部分合同专用条款</w:t>
      </w:r>
    </w:p>
    <w:p w14:paraId="2FBCBBEF">
      <w:pPr>
        <w:spacing w:before="184" w:line="360" w:lineRule="auto"/>
        <w:ind w:left="42" w:firstLine="435"/>
        <w:rPr>
          <w:rFonts w:ascii="宋体" w:hAnsi="宋体" w:cs="宋体"/>
          <w:sz w:val="24"/>
          <w:szCs w:val="24"/>
          <w:highlight w:val="none"/>
        </w:rPr>
      </w:pPr>
      <w:r>
        <w:rPr>
          <w:rFonts w:ascii="宋体" w:hAnsi="宋体" w:cs="宋体"/>
          <w:spacing w:val="1"/>
          <w:sz w:val="24"/>
          <w:szCs w:val="24"/>
          <w:highlight w:val="none"/>
        </w:rPr>
        <w:t>本部分是对前两</w:t>
      </w:r>
      <w:r>
        <w:rPr>
          <w:rFonts w:ascii="宋体" w:hAnsi="宋体" w:cs="宋体"/>
          <w:sz w:val="24"/>
          <w:szCs w:val="24"/>
          <w:highlight w:val="none"/>
        </w:rPr>
        <w:t xml:space="preserve">部分的补充和修改，如果前两部分和本部分的约定不一致， </w:t>
      </w:r>
      <w:r>
        <w:rPr>
          <w:rFonts w:ascii="宋体" w:hAnsi="宋体" w:cs="宋体"/>
          <w:spacing w:val="-4"/>
          <w:sz w:val="24"/>
          <w:szCs w:val="24"/>
          <w:highlight w:val="none"/>
        </w:rPr>
        <w:t>应以本部分的约定为准。本部</w:t>
      </w:r>
      <w:r>
        <w:rPr>
          <w:rFonts w:ascii="宋体" w:hAnsi="宋体" w:cs="宋体"/>
          <w:spacing w:val="-3"/>
          <w:sz w:val="24"/>
          <w:szCs w:val="24"/>
          <w:highlight w:val="none"/>
        </w:rPr>
        <w:t>分</w:t>
      </w:r>
      <w:r>
        <w:rPr>
          <w:rFonts w:ascii="宋体" w:hAnsi="宋体" w:cs="宋体"/>
          <w:spacing w:val="-2"/>
          <w:sz w:val="24"/>
          <w:szCs w:val="24"/>
          <w:highlight w:val="none"/>
        </w:rPr>
        <w:t>的条款号应与前两部分的条款号保持对应；与前</w:t>
      </w:r>
      <w:r>
        <w:rPr>
          <w:rFonts w:ascii="宋体" w:hAnsi="宋体" w:cs="宋体"/>
          <w:spacing w:val="-1"/>
          <w:sz w:val="24"/>
          <w:szCs w:val="24"/>
          <w:highlight w:val="none"/>
        </w:rPr>
        <w:t>两部分无对应关系的内容</w:t>
      </w:r>
      <w:r>
        <w:rPr>
          <w:rFonts w:ascii="宋体" w:hAnsi="宋体" w:cs="宋体"/>
          <w:sz w:val="24"/>
          <w:szCs w:val="24"/>
          <w:highlight w:val="none"/>
        </w:rPr>
        <w:t>可另行编制条款号。</w:t>
      </w:r>
    </w:p>
    <w:p w14:paraId="02DA6A24">
      <w:pPr>
        <w:spacing w:line="69" w:lineRule="exact"/>
        <w:rPr>
          <w:highlight w:val="none"/>
        </w:rPr>
      </w:pPr>
    </w:p>
    <w:tbl>
      <w:tblPr>
        <w:tblStyle w:val="97"/>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7572"/>
      </w:tblGrid>
      <w:tr w14:paraId="59F79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98" w:type="dxa"/>
            <w:tcBorders>
              <w:right w:val="single" w:color="000000" w:sz="4" w:space="0"/>
            </w:tcBorders>
          </w:tcPr>
          <w:p w14:paraId="14A7813B">
            <w:pPr>
              <w:spacing w:before="83" w:line="220" w:lineRule="auto"/>
              <w:ind w:left="47" w:firstLine="464"/>
              <w:rPr>
                <w:rFonts w:ascii="宋体" w:hAnsi="宋体" w:cs="宋体"/>
                <w:sz w:val="24"/>
                <w:szCs w:val="24"/>
                <w:highlight w:val="none"/>
              </w:rPr>
            </w:pPr>
            <w:r>
              <w:rPr>
                <w:rFonts w:ascii="宋体" w:hAnsi="宋体" w:cs="宋体"/>
                <w:spacing w:val="-4"/>
                <w:sz w:val="24"/>
                <w:szCs w:val="24"/>
                <w:highlight w:val="none"/>
              </w:rPr>
              <w:t>条</w:t>
            </w:r>
            <w:r>
              <w:rPr>
                <w:rFonts w:ascii="宋体" w:hAnsi="宋体" w:cs="宋体"/>
                <w:spacing w:val="-3"/>
                <w:sz w:val="24"/>
                <w:szCs w:val="24"/>
                <w:highlight w:val="none"/>
              </w:rPr>
              <w:t>款号</w:t>
            </w:r>
          </w:p>
        </w:tc>
        <w:tc>
          <w:tcPr>
            <w:tcW w:w="7572" w:type="dxa"/>
            <w:tcBorders>
              <w:left w:val="single" w:color="000000" w:sz="4" w:space="0"/>
              <w:right w:val="single" w:color="000000" w:sz="4" w:space="0"/>
            </w:tcBorders>
          </w:tcPr>
          <w:p w14:paraId="55782AEE">
            <w:pPr>
              <w:spacing w:before="83" w:line="220" w:lineRule="auto"/>
              <w:ind w:left="3311" w:firstLine="464"/>
              <w:rPr>
                <w:rFonts w:ascii="宋体" w:hAnsi="宋体" w:cs="宋体"/>
                <w:sz w:val="24"/>
                <w:szCs w:val="24"/>
                <w:highlight w:val="none"/>
              </w:rPr>
            </w:pPr>
            <w:r>
              <w:rPr>
                <w:rFonts w:ascii="宋体" w:hAnsi="宋体" w:cs="宋体"/>
                <w:spacing w:val="-4"/>
                <w:sz w:val="24"/>
                <w:szCs w:val="24"/>
                <w:highlight w:val="none"/>
              </w:rPr>
              <w:t>约</w:t>
            </w:r>
            <w:r>
              <w:rPr>
                <w:rFonts w:ascii="宋体" w:hAnsi="宋体" w:cs="宋体"/>
                <w:spacing w:val="-3"/>
                <w:sz w:val="24"/>
                <w:szCs w:val="24"/>
                <w:highlight w:val="none"/>
              </w:rPr>
              <w:t>定</w:t>
            </w:r>
            <w:r>
              <w:rPr>
                <w:rFonts w:ascii="宋体" w:hAnsi="宋体" w:cs="宋体"/>
                <w:spacing w:val="-2"/>
                <w:sz w:val="24"/>
                <w:szCs w:val="24"/>
                <w:highlight w:val="none"/>
              </w:rPr>
              <w:t>内容</w:t>
            </w:r>
          </w:p>
        </w:tc>
      </w:tr>
      <w:tr w14:paraId="15AFC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6051D8EE">
            <w:pPr>
              <w:rPr>
                <w:rFonts w:cs="Arial"/>
                <w:highlight w:val="none"/>
              </w:rPr>
            </w:pPr>
          </w:p>
        </w:tc>
        <w:tc>
          <w:tcPr>
            <w:tcW w:w="7572" w:type="dxa"/>
            <w:tcBorders>
              <w:left w:val="single" w:color="000000" w:sz="4" w:space="0"/>
              <w:right w:val="single" w:color="000000" w:sz="4" w:space="0"/>
            </w:tcBorders>
          </w:tcPr>
          <w:p w14:paraId="5FDF8D62">
            <w:pPr>
              <w:rPr>
                <w:rFonts w:cs="Arial"/>
                <w:highlight w:val="none"/>
              </w:rPr>
            </w:pPr>
          </w:p>
        </w:tc>
      </w:tr>
      <w:tr w14:paraId="36C50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079B5DDB">
            <w:pPr>
              <w:rPr>
                <w:rFonts w:cs="Arial"/>
                <w:highlight w:val="none"/>
              </w:rPr>
            </w:pPr>
          </w:p>
        </w:tc>
        <w:tc>
          <w:tcPr>
            <w:tcW w:w="7572" w:type="dxa"/>
            <w:tcBorders>
              <w:left w:val="single" w:color="000000" w:sz="4" w:space="0"/>
              <w:right w:val="single" w:color="000000" w:sz="4" w:space="0"/>
            </w:tcBorders>
          </w:tcPr>
          <w:p w14:paraId="7372A90E">
            <w:pPr>
              <w:rPr>
                <w:rFonts w:cs="Arial"/>
                <w:highlight w:val="none"/>
              </w:rPr>
            </w:pPr>
          </w:p>
        </w:tc>
      </w:tr>
      <w:tr w14:paraId="16BB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7856FBA8">
            <w:pPr>
              <w:rPr>
                <w:rFonts w:cs="Arial"/>
                <w:highlight w:val="none"/>
              </w:rPr>
            </w:pPr>
          </w:p>
        </w:tc>
        <w:tc>
          <w:tcPr>
            <w:tcW w:w="7572" w:type="dxa"/>
            <w:tcBorders>
              <w:left w:val="single" w:color="000000" w:sz="4" w:space="0"/>
              <w:right w:val="single" w:color="000000" w:sz="4" w:space="0"/>
            </w:tcBorders>
          </w:tcPr>
          <w:p w14:paraId="3E761338">
            <w:pPr>
              <w:rPr>
                <w:rFonts w:cs="Arial"/>
                <w:highlight w:val="none"/>
              </w:rPr>
            </w:pPr>
          </w:p>
        </w:tc>
      </w:tr>
      <w:tr w14:paraId="61F6B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8" w:hRule="atLeast"/>
        </w:trPr>
        <w:tc>
          <w:tcPr>
            <w:tcW w:w="798" w:type="dxa"/>
            <w:tcBorders>
              <w:right w:val="single" w:color="000000" w:sz="4" w:space="0"/>
            </w:tcBorders>
          </w:tcPr>
          <w:p w14:paraId="4E465CC1">
            <w:pPr>
              <w:rPr>
                <w:rFonts w:cs="Arial"/>
                <w:highlight w:val="none"/>
              </w:rPr>
            </w:pPr>
          </w:p>
        </w:tc>
        <w:tc>
          <w:tcPr>
            <w:tcW w:w="7572" w:type="dxa"/>
            <w:tcBorders>
              <w:left w:val="single" w:color="000000" w:sz="4" w:space="0"/>
              <w:right w:val="single" w:color="000000" w:sz="4" w:space="0"/>
            </w:tcBorders>
          </w:tcPr>
          <w:p w14:paraId="16B6228E">
            <w:pPr>
              <w:rPr>
                <w:rFonts w:cs="Arial"/>
                <w:highlight w:val="none"/>
              </w:rPr>
            </w:pPr>
          </w:p>
        </w:tc>
      </w:tr>
      <w:tr w14:paraId="483F8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0" w:hRule="atLeast"/>
        </w:trPr>
        <w:tc>
          <w:tcPr>
            <w:tcW w:w="798" w:type="dxa"/>
            <w:tcBorders>
              <w:right w:val="single" w:color="000000" w:sz="4" w:space="0"/>
            </w:tcBorders>
          </w:tcPr>
          <w:p w14:paraId="3C33F42F">
            <w:pPr>
              <w:rPr>
                <w:rFonts w:cs="Arial"/>
                <w:highlight w:val="none"/>
              </w:rPr>
            </w:pPr>
          </w:p>
        </w:tc>
        <w:tc>
          <w:tcPr>
            <w:tcW w:w="7572" w:type="dxa"/>
            <w:tcBorders>
              <w:left w:val="single" w:color="000000" w:sz="4" w:space="0"/>
              <w:right w:val="single" w:color="000000" w:sz="4" w:space="0"/>
            </w:tcBorders>
          </w:tcPr>
          <w:p w14:paraId="563F1A3E">
            <w:pPr>
              <w:rPr>
                <w:rFonts w:cs="Arial"/>
                <w:highlight w:val="none"/>
              </w:rPr>
            </w:pPr>
          </w:p>
        </w:tc>
      </w:tr>
      <w:tr w14:paraId="6F552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798" w:type="dxa"/>
            <w:tcBorders>
              <w:right w:val="single" w:color="000000" w:sz="4" w:space="0"/>
            </w:tcBorders>
          </w:tcPr>
          <w:p w14:paraId="3452E209">
            <w:pPr>
              <w:rPr>
                <w:rFonts w:cs="Arial"/>
                <w:highlight w:val="none"/>
              </w:rPr>
            </w:pPr>
          </w:p>
        </w:tc>
        <w:tc>
          <w:tcPr>
            <w:tcW w:w="7572" w:type="dxa"/>
            <w:tcBorders>
              <w:left w:val="single" w:color="000000" w:sz="4" w:space="0"/>
              <w:right w:val="single" w:color="000000" w:sz="4" w:space="0"/>
            </w:tcBorders>
          </w:tcPr>
          <w:p w14:paraId="06054BBA">
            <w:pPr>
              <w:rPr>
                <w:rFonts w:cs="Arial"/>
                <w:highlight w:val="none"/>
              </w:rPr>
            </w:pPr>
          </w:p>
        </w:tc>
      </w:tr>
      <w:tr w14:paraId="5166A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51C55584">
            <w:pPr>
              <w:rPr>
                <w:rFonts w:cs="Arial"/>
                <w:highlight w:val="none"/>
              </w:rPr>
            </w:pPr>
          </w:p>
        </w:tc>
        <w:tc>
          <w:tcPr>
            <w:tcW w:w="7572" w:type="dxa"/>
            <w:tcBorders>
              <w:left w:val="single" w:color="000000" w:sz="4" w:space="0"/>
              <w:right w:val="single" w:color="000000" w:sz="4" w:space="0"/>
            </w:tcBorders>
          </w:tcPr>
          <w:p w14:paraId="0FE2B9ED">
            <w:pPr>
              <w:rPr>
                <w:rFonts w:cs="Arial"/>
                <w:highlight w:val="none"/>
              </w:rPr>
            </w:pPr>
          </w:p>
        </w:tc>
      </w:tr>
      <w:tr w14:paraId="11273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798" w:type="dxa"/>
            <w:tcBorders>
              <w:right w:val="single" w:color="000000" w:sz="4" w:space="0"/>
            </w:tcBorders>
          </w:tcPr>
          <w:p w14:paraId="070AA132">
            <w:pPr>
              <w:rPr>
                <w:rFonts w:cs="Arial"/>
                <w:highlight w:val="none"/>
              </w:rPr>
            </w:pPr>
          </w:p>
        </w:tc>
        <w:tc>
          <w:tcPr>
            <w:tcW w:w="7572" w:type="dxa"/>
            <w:tcBorders>
              <w:left w:val="single" w:color="000000" w:sz="4" w:space="0"/>
              <w:right w:val="single" w:color="000000" w:sz="4" w:space="0"/>
            </w:tcBorders>
          </w:tcPr>
          <w:p w14:paraId="2FCF14BC">
            <w:pPr>
              <w:rPr>
                <w:rFonts w:cs="Arial"/>
                <w:highlight w:val="none"/>
              </w:rPr>
            </w:pPr>
          </w:p>
        </w:tc>
      </w:tr>
      <w:tr w14:paraId="15018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98" w:type="dxa"/>
            <w:tcBorders>
              <w:right w:val="single" w:color="000000" w:sz="4" w:space="0"/>
            </w:tcBorders>
          </w:tcPr>
          <w:p w14:paraId="41C7C2DA">
            <w:pPr>
              <w:rPr>
                <w:rFonts w:cs="Arial"/>
                <w:highlight w:val="none"/>
              </w:rPr>
            </w:pPr>
          </w:p>
        </w:tc>
        <w:tc>
          <w:tcPr>
            <w:tcW w:w="7572" w:type="dxa"/>
            <w:tcBorders>
              <w:left w:val="single" w:color="000000" w:sz="4" w:space="0"/>
              <w:right w:val="single" w:color="000000" w:sz="4" w:space="0"/>
            </w:tcBorders>
          </w:tcPr>
          <w:p w14:paraId="69F5BFB5">
            <w:pPr>
              <w:rPr>
                <w:rFonts w:cs="Arial"/>
                <w:highlight w:val="none"/>
              </w:rPr>
            </w:pPr>
          </w:p>
        </w:tc>
      </w:tr>
      <w:tr w14:paraId="651B1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38D8AC6C">
            <w:pPr>
              <w:rPr>
                <w:rFonts w:cs="Arial"/>
                <w:highlight w:val="none"/>
              </w:rPr>
            </w:pPr>
          </w:p>
        </w:tc>
        <w:tc>
          <w:tcPr>
            <w:tcW w:w="7572" w:type="dxa"/>
            <w:tcBorders>
              <w:left w:val="single" w:color="000000" w:sz="4" w:space="0"/>
              <w:right w:val="single" w:color="000000" w:sz="4" w:space="0"/>
            </w:tcBorders>
          </w:tcPr>
          <w:p w14:paraId="32535740">
            <w:pPr>
              <w:rPr>
                <w:rFonts w:cs="Arial"/>
                <w:highlight w:val="none"/>
              </w:rPr>
            </w:pPr>
          </w:p>
        </w:tc>
      </w:tr>
      <w:tr w14:paraId="39071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798" w:type="dxa"/>
            <w:tcBorders>
              <w:right w:val="single" w:color="000000" w:sz="4" w:space="0"/>
            </w:tcBorders>
          </w:tcPr>
          <w:p w14:paraId="149E8944">
            <w:pPr>
              <w:rPr>
                <w:rFonts w:cs="Arial"/>
                <w:highlight w:val="none"/>
              </w:rPr>
            </w:pPr>
          </w:p>
        </w:tc>
        <w:tc>
          <w:tcPr>
            <w:tcW w:w="7572" w:type="dxa"/>
            <w:tcBorders>
              <w:left w:val="single" w:color="000000" w:sz="4" w:space="0"/>
              <w:right w:val="single" w:color="000000" w:sz="4" w:space="0"/>
            </w:tcBorders>
          </w:tcPr>
          <w:p w14:paraId="22146F1F">
            <w:pPr>
              <w:rPr>
                <w:rFonts w:cs="Arial"/>
                <w:highlight w:val="none"/>
              </w:rPr>
            </w:pPr>
          </w:p>
        </w:tc>
      </w:tr>
      <w:tr w14:paraId="2F872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8" w:type="dxa"/>
            <w:tcBorders>
              <w:right w:val="single" w:color="000000" w:sz="4" w:space="0"/>
            </w:tcBorders>
          </w:tcPr>
          <w:p w14:paraId="6F475999">
            <w:pPr>
              <w:rPr>
                <w:rFonts w:cs="Arial"/>
                <w:highlight w:val="none"/>
              </w:rPr>
            </w:pPr>
          </w:p>
        </w:tc>
        <w:tc>
          <w:tcPr>
            <w:tcW w:w="7572" w:type="dxa"/>
            <w:tcBorders>
              <w:left w:val="single" w:color="000000" w:sz="4" w:space="0"/>
              <w:right w:val="single" w:color="000000" w:sz="4" w:space="0"/>
            </w:tcBorders>
          </w:tcPr>
          <w:p w14:paraId="23DF722A">
            <w:pPr>
              <w:rPr>
                <w:rFonts w:cs="Arial"/>
                <w:highlight w:val="none"/>
              </w:rPr>
            </w:pPr>
          </w:p>
        </w:tc>
      </w:tr>
    </w:tbl>
    <w:p w14:paraId="18ACDD34">
      <w:pPr>
        <w:rPr>
          <w:sz w:val="24"/>
          <w:szCs w:val="24"/>
          <w:highlight w:val="none"/>
        </w:rPr>
      </w:pPr>
    </w:p>
    <w:p w14:paraId="133FD14A">
      <w:pPr>
        <w:pStyle w:val="32"/>
        <w:ind w:firstLine="0"/>
        <w:rPr>
          <w:highlight w:val="none"/>
        </w:rPr>
      </w:pPr>
    </w:p>
    <w:p w14:paraId="16CEB161">
      <w:pPr>
        <w:rPr>
          <w:highlight w:val="none"/>
        </w:rPr>
      </w:pPr>
    </w:p>
    <w:p w14:paraId="33AF62D3">
      <w:pPr>
        <w:pStyle w:val="32"/>
        <w:rPr>
          <w:highlight w:val="none"/>
        </w:rPr>
      </w:pPr>
    </w:p>
    <w:p w14:paraId="099ED5E7">
      <w:pPr>
        <w:rPr>
          <w:highlight w:val="none"/>
        </w:rPr>
      </w:pPr>
    </w:p>
    <w:p w14:paraId="4E1A37A4">
      <w:pPr>
        <w:pStyle w:val="32"/>
        <w:rPr>
          <w:highlight w:val="none"/>
        </w:rPr>
      </w:pPr>
    </w:p>
    <w:p w14:paraId="5ACB3F26">
      <w:pPr>
        <w:rPr>
          <w:highlight w:val="none"/>
        </w:rPr>
      </w:pPr>
    </w:p>
    <w:p w14:paraId="3C47FF4B">
      <w:pPr>
        <w:pStyle w:val="32"/>
        <w:rPr>
          <w:highlight w:val="none"/>
        </w:rPr>
      </w:pPr>
    </w:p>
    <w:p w14:paraId="24F2A56C">
      <w:pPr>
        <w:rPr>
          <w:highlight w:val="none"/>
        </w:rPr>
      </w:pPr>
    </w:p>
    <w:p w14:paraId="0A2ACA16">
      <w:pPr>
        <w:pStyle w:val="3"/>
        <w:numPr>
          <w:ilvl w:val="0"/>
          <w:numId w:val="3"/>
        </w:numPr>
        <w:spacing w:before="0" w:after="0" w:line="560" w:lineRule="exact"/>
        <w:jc w:val="center"/>
        <w:rPr>
          <w:rFonts w:ascii="宋体" w:hAnsi="宋体" w:eastAsia="宋体" w:cs="宋体"/>
          <w:sz w:val="28"/>
          <w:szCs w:val="28"/>
          <w:highlight w:val="none"/>
        </w:rPr>
      </w:pPr>
      <w:bookmarkStart w:id="81" w:name="_Toc17199"/>
      <w:r>
        <w:rPr>
          <w:rFonts w:hint="eastAsia" w:ascii="宋体" w:hAnsi="宋体" w:eastAsia="宋体" w:cs="宋体"/>
          <w:sz w:val="28"/>
          <w:szCs w:val="28"/>
          <w:highlight w:val="none"/>
        </w:rPr>
        <w:t>采购需求</w:t>
      </w:r>
      <w:bookmarkEnd w:id="81"/>
    </w:p>
    <w:bookmarkEnd w:id="80"/>
    <w:p w14:paraId="5AD8A8B7">
      <w:pPr>
        <w:spacing w:line="360" w:lineRule="auto"/>
        <w:ind w:firstLine="437"/>
        <w:outlineLvl w:val="1"/>
        <w:rPr>
          <w:rFonts w:hint="eastAsia" w:ascii="宋体" w:hAnsi="宋体" w:eastAsia="宋体" w:cs="宋体"/>
          <w:b/>
          <w:sz w:val="24"/>
          <w:szCs w:val="24"/>
          <w:highlight w:val="none"/>
        </w:rPr>
      </w:pPr>
      <w:bookmarkStart w:id="82" w:name="_Toc25911"/>
      <w:bookmarkStart w:id="83" w:name="_Toc21831"/>
      <w:bookmarkStart w:id="84" w:name="_Toc19815"/>
      <w:r>
        <w:rPr>
          <w:rFonts w:hint="eastAsia" w:ascii="宋体" w:hAnsi="宋体" w:eastAsia="宋体" w:cs="宋体"/>
          <w:b/>
          <w:sz w:val="24"/>
          <w:szCs w:val="24"/>
          <w:highlight w:val="none"/>
        </w:rPr>
        <w:t>一、采购需求前附表</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2160"/>
        <w:gridCol w:w="5831"/>
      </w:tblGrid>
      <w:tr w14:paraId="527B0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253B98BD">
            <w:pPr>
              <w:pBdr>
                <w:bottom w:val="thinThickSmallGap" w:color="auto" w:sz="12" w:space="1"/>
              </w:pBdr>
              <w:adjustRightInd w:val="0"/>
              <w:spacing w:line="240" w:lineRule="atLeast"/>
              <w:jc w:val="center"/>
              <w:textAlignment w:val="baseline"/>
              <w:rPr>
                <w:rFonts w:ascii="宋体" w:hAnsi="宋体" w:eastAsia="宋体" w:cs="Times New Roman"/>
                <w:b/>
                <w:sz w:val="24"/>
                <w:szCs w:val="24"/>
                <w:highlight w:val="none"/>
              </w:rPr>
            </w:pPr>
            <w:bookmarkStart w:id="85" w:name="_Hlk16461016"/>
            <w:r>
              <w:rPr>
                <w:rFonts w:hint="eastAsia" w:ascii="宋体" w:hAnsi="宋体" w:eastAsia="宋体" w:cs="Times New Roman"/>
                <w:b/>
                <w:sz w:val="24"/>
                <w:szCs w:val="24"/>
                <w:highlight w:val="none"/>
              </w:rPr>
              <w:t>序号</w:t>
            </w:r>
            <w:bookmarkEnd w:id="85"/>
          </w:p>
        </w:tc>
        <w:tc>
          <w:tcPr>
            <w:tcW w:w="1192" w:type="pct"/>
            <w:tcBorders>
              <w:top w:val="single" w:color="auto" w:sz="4" w:space="0"/>
              <w:left w:val="single" w:color="auto" w:sz="4" w:space="0"/>
              <w:bottom w:val="single" w:color="auto" w:sz="4" w:space="0"/>
              <w:right w:val="single" w:color="auto" w:sz="4" w:space="0"/>
            </w:tcBorders>
            <w:vAlign w:val="center"/>
          </w:tcPr>
          <w:p w14:paraId="2D1179A0">
            <w:pPr>
              <w:spacing w:line="360" w:lineRule="auto"/>
              <w:jc w:val="center"/>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条款名称</w:t>
            </w:r>
          </w:p>
        </w:tc>
        <w:tc>
          <w:tcPr>
            <w:tcW w:w="3217" w:type="pct"/>
            <w:tcBorders>
              <w:top w:val="single" w:color="auto" w:sz="4" w:space="0"/>
              <w:left w:val="single" w:color="auto" w:sz="4" w:space="0"/>
              <w:bottom w:val="single" w:color="auto" w:sz="4" w:space="0"/>
              <w:right w:val="single" w:color="auto" w:sz="4" w:space="0"/>
            </w:tcBorders>
            <w:vAlign w:val="center"/>
          </w:tcPr>
          <w:p w14:paraId="77204A79">
            <w:pPr>
              <w:spacing w:line="360" w:lineRule="auto"/>
              <w:jc w:val="center"/>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内容、说明与要求</w:t>
            </w:r>
          </w:p>
        </w:tc>
      </w:tr>
      <w:tr w14:paraId="07CE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5163AEBA">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w:t>
            </w:r>
          </w:p>
        </w:tc>
        <w:tc>
          <w:tcPr>
            <w:tcW w:w="1192" w:type="pct"/>
            <w:tcBorders>
              <w:top w:val="single" w:color="auto" w:sz="4" w:space="0"/>
              <w:left w:val="single" w:color="auto" w:sz="4" w:space="0"/>
              <w:bottom w:val="single" w:color="auto" w:sz="4" w:space="0"/>
              <w:right w:val="single" w:color="auto" w:sz="4" w:space="0"/>
            </w:tcBorders>
            <w:vAlign w:val="center"/>
          </w:tcPr>
          <w:p w14:paraId="0223EDA1">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付款方式</w:t>
            </w:r>
          </w:p>
        </w:tc>
        <w:tc>
          <w:tcPr>
            <w:tcW w:w="3217" w:type="pct"/>
            <w:tcBorders>
              <w:top w:val="single" w:color="auto" w:sz="4" w:space="0"/>
              <w:left w:val="single" w:color="auto" w:sz="4" w:space="0"/>
              <w:bottom w:val="single" w:color="auto" w:sz="4" w:space="0"/>
              <w:right w:val="single" w:color="auto" w:sz="4" w:space="0"/>
            </w:tcBorders>
            <w:vAlign w:val="center"/>
          </w:tcPr>
          <w:p w14:paraId="1D5E9B17">
            <w:pPr>
              <w:spacing w:line="360" w:lineRule="auto"/>
              <w:rPr>
                <w:rFonts w:ascii="宋体" w:hAnsi="宋体" w:eastAsia="宋体" w:cs="Times New Roman"/>
                <w:bCs/>
                <w:kern w:val="0"/>
                <w:sz w:val="24"/>
                <w:szCs w:val="24"/>
                <w:highlight w:val="none"/>
                <w:u w:val="single"/>
              </w:rPr>
            </w:pPr>
            <w:r>
              <w:rPr>
                <w:rFonts w:hint="eastAsia" w:ascii="宋体" w:hAnsi="宋体" w:eastAsia="宋体" w:cs="Times New Roman"/>
                <w:bCs/>
                <w:kern w:val="0"/>
                <w:sz w:val="24"/>
                <w:szCs w:val="24"/>
                <w:highlight w:val="none"/>
                <w:u w:val="single"/>
              </w:rPr>
              <w:t xml:space="preserve"> 本项目合同由霍山职业学校与中标单位签订军事化服务合同，提供军事化服务，校方对其进行管理。由学校按月付款，当月费用在下一月15日前付款，每月军事化服务费的基础费用，全年绩效工资作为考核费用，半年考核一次，根据综合考核结果于下一月15日前集中累计支付。 </w:t>
            </w:r>
          </w:p>
        </w:tc>
      </w:tr>
      <w:tr w14:paraId="09A1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723C9B9D">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w:t>
            </w:r>
          </w:p>
        </w:tc>
        <w:tc>
          <w:tcPr>
            <w:tcW w:w="1192" w:type="pct"/>
            <w:tcBorders>
              <w:top w:val="single" w:color="auto" w:sz="4" w:space="0"/>
              <w:left w:val="single" w:color="auto" w:sz="4" w:space="0"/>
              <w:bottom w:val="single" w:color="auto" w:sz="4" w:space="0"/>
              <w:right w:val="single" w:color="auto" w:sz="4" w:space="0"/>
            </w:tcBorders>
            <w:vAlign w:val="center"/>
          </w:tcPr>
          <w:p w14:paraId="229E35A0">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服务地点</w:t>
            </w:r>
          </w:p>
        </w:tc>
        <w:tc>
          <w:tcPr>
            <w:tcW w:w="3217" w:type="pct"/>
            <w:tcBorders>
              <w:top w:val="single" w:color="auto" w:sz="4" w:space="0"/>
              <w:left w:val="single" w:color="auto" w:sz="4" w:space="0"/>
              <w:bottom w:val="single" w:color="auto" w:sz="4" w:space="0"/>
              <w:right w:val="single" w:color="auto" w:sz="4" w:space="0"/>
            </w:tcBorders>
            <w:vAlign w:val="center"/>
          </w:tcPr>
          <w:p w14:paraId="4C4EDE12">
            <w:pPr>
              <w:spacing w:line="360" w:lineRule="auto"/>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u w:val="single"/>
              </w:rPr>
              <w:t xml:space="preserve"> 霍山职业学校   </w:t>
            </w:r>
          </w:p>
        </w:tc>
      </w:tr>
      <w:tr w14:paraId="0D84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3EF14073">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3</w:t>
            </w:r>
          </w:p>
        </w:tc>
        <w:tc>
          <w:tcPr>
            <w:tcW w:w="1192" w:type="pct"/>
            <w:tcBorders>
              <w:top w:val="single" w:color="auto" w:sz="4" w:space="0"/>
              <w:left w:val="single" w:color="auto" w:sz="4" w:space="0"/>
              <w:bottom w:val="single" w:color="auto" w:sz="4" w:space="0"/>
              <w:right w:val="single" w:color="auto" w:sz="4" w:space="0"/>
            </w:tcBorders>
            <w:vAlign w:val="center"/>
          </w:tcPr>
          <w:p w14:paraId="08910716">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服务期限</w:t>
            </w:r>
          </w:p>
        </w:tc>
        <w:tc>
          <w:tcPr>
            <w:tcW w:w="3217" w:type="pct"/>
            <w:tcBorders>
              <w:top w:val="single" w:color="auto" w:sz="4" w:space="0"/>
              <w:left w:val="single" w:color="auto" w:sz="4" w:space="0"/>
              <w:bottom w:val="single" w:color="auto" w:sz="4" w:space="0"/>
              <w:right w:val="single" w:color="auto" w:sz="4" w:space="0"/>
            </w:tcBorders>
            <w:vAlign w:val="center"/>
          </w:tcPr>
          <w:p w14:paraId="6DF22B06">
            <w:pPr>
              <w:spacing w:line="360" w:lineRule="auto"/>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u w:val="single"/>
              </w:rPr>
              <w:t xml:space="preserve"> 三年（合同一年一签，每年服务期满经学校考核合格后，续签下年合同）</w:t>
            </w:r>
          </w:p>
        </w:tc>
      </w:tr>
      <w:tr w14:paraId="65AE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781C566A">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4</w:t>
            </w:r>
          </w:p>
        </w:tc>
        <w:tc>
          <w:tcPr>
            <w:tcW w:w="1192" w:type="pct"/>
            <w:tcBorders>
              <w:top w:val="single" w:color="auto" w:sz="4" w:space="0"/>
              <w:left w:val="single" w:color="auto" w:sz="4" w:space="0"/>
              <w:bottom w:val="single" w:color="auto" w:sz="4" w:space="0"/>
              <w:right w:val="single" w:color="auto" w:sz="4" w:space="0"/>
            </w:tcBorders>
            <w:vAlign w:val="center"/>
          </w:tcPr>
          <w:p w14:paraId="5E54D209">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报价须知</w:t>
            </w:r>
          </w:p>
        </w:tc>
        <w:tc>
          <w:tcPr>
            <w:tcW w:w="3217" w:type="pct"/>
            <w:tcBorders>
              <w:top w:val="single" w:color="auto" w:sz="4" w:space="0"/>
              <w:left w:val="single" w:color="auto" w:sz="4" w:space="0"/>
              <w:bottom w:val="single" w:color="auto" w:sz="4" w:space="0"/>
              <w:right w:val="single" w:color="auto" w:sz="4" w:space="0"/>
            </w:tcBorders>
            <w:vAlign w:val="center"/>
          </w:tcPr>
          <w:p w14:paraId="5B426516">
            <w:pPr>
              <w:rPr>
                <w:rFonts w:ascii="宋体" w:hAnsi="宋体" w:eastAsia="宋体" w:cs="宋体"/>
                <w:sz w:val="24"/>
                <w:szCs w:val="24"/>
                <w:highlight w:val="none"/>
                <w:u w:val="single"/>
              </w:rPr>
            </w:pPr>
            <w:r>
              <w:rPr>
                <w:rFonts w:hint="eastAsia" w:ascii="宋体" w:hAnsi="宋体" w:eastAsia="宋体" w:cs="宋体"/>
                <w:sz w:val="24"/>
                <w:szCs w:val="24"/>
                <w:highlight w:val="none"/>
              </w:rPr>
              <w:t>供应商最后报价均不得高于磋商文件（公告）列明的项目预算、最高投标限价，否则其响应文件将被认定为响应无效。</w:t>
            </w:r>
          </w:p>
        </w:tc>
      </w:tr>
    </w:tbl>
    <w:p w14:paraId="113547E3">
      <w:pPr>
        <w:spacing w:line="360" w:lineRule="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二、项目概况</w:t>
      </w:r>
    </w:p>
    <w:p w14:paraId="5AD7B575">
      <w:pPr>
        <w:spacing w:line="360" w:lineRule="auto"/>
        <w:ind w:firstLine="437"/>
        <w:outlineLvl w:val="2"/>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1、 </w:t>
      </w:r>
      <w:r>
        <w:rPr>
          <w:rFonts w:hint="eastAsia" w:ascii="宋体" w:hAnsi="宋体" w:eastAsia="宋体" w:cs="宋体"/>
          <w:bCs/>
          <w:sz w:val="24"/>
          <w:szCs w:val="24"/>
          <w:highlight w:val="none"/>
          <w:lang w:val="en-US" w:eastAsia="zh-CN"/>
        </w:rPr>
        <w:t>最高限价</w:t>
      </w:r>
      <w:r>
        <w:rPr>
          <w:rFonts w:hint="eastAsia" w:ascii="宋体" w:hAnsi="宋体" w:eastAsia="宋体" w:cs="宋体"/>
          <w:bCs/>
          <w:sz w:val="24"/>
          <w:szCs w:val="24"/>
          <w:highlight w:val="none"/>
        </w:rPr>
        <w:t>（包含教官、宿管工资及各类保险，中标单位的10%管理费、税费，保洁工具等费用）</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 xml:space="preserve"> 99万</w:t>
      </w:r>
      <w:r>
        <w:rPr>
          <w:rFonts w:hint="eastAsia" w:ascii="宋体" w:hAnsi="宋体" w:eastAsia="宋体" w:cs="宋体"/>
          <w:sz w:val="24"/>
          <w:szCs w:val="24"/>
          <w:highlight w:val="none"/>
        </w:rPr>
        <w:t>元（大写：人民币</w:t>
      </w:r>
      <w:r>
        <w:rPr>
          <w:rFonts w:hint="eastAsia" w:ascii="宋体" w:hAnsi="宋体" w:eastAsia="宋体" w:cs="宋体"/>
          <w:sz w:val="24"/>
          <w:szCs w:val="24"/>
          <w:highlight w:val="none"/>
          <w:u w:val="single"/>
        </w:rPr>
        <w:t xml:space="preserve"> 玖拾玖万</w:t>
      </w:r>
      <w:r>
        <w:rPr>
          <w:rFonts w:hint="eastAsia" w:ascii="宋体" w:hAnsi="宋体" w:eastAsia="宋体" w:cs="宋体"/>
          <w:sz w:val="24"/>
          <w:szCs w:val="24"/>
          <w:highlight w:val="none"/>
        </w:rPr>
        <w:t>元）。</w:t>
      </w:r>
    </w:p>
    <w:p w14:paraId="13FDD4C1">
      <w:pPr>
        <w:spacing w:line="360" w:lineRule="auto"/>
        <w:ind w:firstLine="435"/>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分项价格：</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3513"/>
        <w:gridCol w:w="4516"/>
        <w:gridCol w:w="14"/>
      </w:tblGrid>
      <w:tr w14:paraId="0E75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vAlign w:val="center"/>
          </w:tcPr>
          <w:p w14:paraId="7D14BF6B">
            <w:pPr>
              <w:jc w:val="center"/>
              <w:rPr>
                <w:rFonts w:ascii="宋体" w:hAnsi="宋体" w:eastAsia="宋体" w:cs="宋体"/>
                <w:sz w:val="24"/>
                <w:szCs w:val="24"/>
                <w:highlight w:val="none"/>
              </w:rPr>
            </w:pPr>
            <w:r>
              <w:rPr>
                <w:rFonts w:hint="eastAsia" w:ascii="宋体" w:hAnsi="宋体" w:eastAsia="宋体" w:cs="宋体"/>
                <w:sz w:val="24"/>
                <w:szCs w:val="24"/>
                <w:highlight w:val="none"/>
              </w:rPr>
              <w:t>序号</w:t>
            </w:r>
          </w:p>
        </w:tc>
        <w:tc>
          <w:tcPr>
            <w:tcW w:w="1938" w:type="pct"/>
            <w:tcBorders>
              <w:top w:val="single" w:color="auto" w:sz="4" w:space="0"/>
              <w:left w:val="single" w:color="auto" w:sz="4" w:space="0"/>
              <w:bottom w:val="single" w:color="auto" w:sz="4" w:space="0"/>
              <w:right w:val="single" w:color="auto" w:sz="4" w:space="0"/>
            </w:tcBorders>
            <w:vAlign w:val="center"/>
          </w:tcPr>
          <w:p w14:paraId="1021370F">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分项名称</w:t>
            </w:r>
          </w:p>
        </w:tc>
        <w:tc>
          <w:tcPr>
            <w:tcW w:w="2492" w:type="pct"/>
            <w:tcBorders>
              <w:top w:val="single" w:color="auto" w:sz="4" w:space="0"/>
              <w:left w:val="single" w:color="auto" w:sz="4" w:space="0"/>
              <w:bottom w:val="single" w:color="auto" w:sz="4" w:space="0"/>
              <w:right w:val="single" w:color="auto" w:sz="4" w:space="0"/>
            </w:tcBorders>
            <w:vAlign w:val="center"/>
          </w:tcPr>
          <w:p w14:paraId="259D0996">
            <w:pPr>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分项价格</w:t>
            </w:r>
          </w:p>
        </w:tc>
      </w:tr>
      <w:tr w14:paraId="5F1E9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06824CB">
            <w:pPr>
              <w:jc w:val="center"/>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1938" w:type="pct"/>
            <w:tcBorders>
              <w:top w:val="single" w:color="auto" w:sz="4" w:space="0"/>
              <w:left w:val="single" w:color="auto" w:sz="4" w:space="0"/>
              <w:bottom w:val="single" w:color="auto" w:sz="4" w:space="0"/>
              <w:right w:val="single" w:color="auto" w:sz="4" w:space="0"/>
            </w:tcBorders>
            <w:vAlign w:val="center"/>
          </w:tcPr>
          <w:p w14:paraId="3CC520A0">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教官工资</w:t>
            </w:r>
          </w:p>
        </w:tc>
        <w:tc>
          <w:tcPr>
            <w:tcW w:w="2492" w:type="pct"/>
            <w:tcBorders>
              <w:top w:val="single" w:color="auto" w:sz="4" w:space="0"/>
              <w:left w:val="single" w:color="auto" w:sz="4" w:space="0"/>
              <w:bottom w:val="single" w:color="auto" w:sz="4" w:space="0"/>
              <w:right w:val="single" w:color="auto" w:sz="4" w:space="0"/>
            </w:tcBorders>
            <w:vAlign w:val="center"/>
          </w:tcPr>
          <w:p w14:paraId="04731D09">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11*7=77万</w:t>
            </w:r>
          </w:p>
        </w:tc>
      </w:tr>
      <w:tr w14:paraId="68AD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C2F9E1C">
            <w:pPr>
              <w:jc w:val="center"/>
              <w:rPr>
                <w:rFonts w:ascii="宋体" w:hAnsi="宋体" w:eastAsia="宋体" w:cs="宋体"/>
                <w:sz w:val="24"/>
                <w:szCs w:val="24"/>
                <w:highlight w:val="none"/>
              </w:rPr>
            </w:pPr>
            <w:r>
              <w:rPr>
                <w:rFonts w:hint="eastAsia" w:ascii="宋体" w:hAnsi="宋体" w:eastAsia="宋体" w:cs="宋体"/>
                <w:sz w:val="24"/>
                <w:szCs w:val="24"/>
                <w:highlight w:val="none"/>
              </w:rPr>
              <w:t>2</w:t>
            </w:r>
          </w:p>
        </w:tc>
        <w:tc>
          <w:tcPr>
            <w:tcW w:w="1938" w:type="pct"/>
            <w:tcBorders>
              <w:top w:val="single" w:color="auto" w:sz="4" w:space="0"/>
              <w:left w:val="single" w:color="auto" w:sz="4" w:space="0"/>
              <w:bottom w:val="single" w:color="auto" w:sz="4" w:space="0"/>
              <w:right w:val="single" w:color="auto" w:sz="4" w:space="0"/>
            </w:tcBorders>
            <w:vAlign w:val="center"/>
          </w:tcPr>
          <w:p w14:paraId="0CC97C47">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lang w:eastAsia="zh-CN"/>
              </w:rPr>
              <w:t>宿管</w:t>
            </w:r>
            <w:r>
              <w:rPr>
                <w:rFonts w:hint="eastAsia" w:ascii="宋体" w:hAnsi="宋体" w:eastAsia="宋体" w:cs="Times New Roman"/>
                <w:sz w:val="24"/>
                <w:szCs w:val="24"/>
                <w:highlight w:val="none"/>
              </w:rPr>
              <w:t>工资</w:t>
            </w:r>
          </w:p>
        </w:tc>
        <w:tc>
          <w:tcPr>
            <w:tcW w:w="2492" w:type="pct"/>
            <w:tcBorders>
              <w:top w:val="single" w:color="auto" w:sz="4" w:space="0"/>
              <w:left w:val="single" w:color="auto" w:sz="4" w:space="0"/>
              <w:bottom w:val="single" w:color="auto" w:sz="4" w:space="0"/>
              <w:right w:val="single" w:color="auto" w:sz="4" w:space="0"/>
            </w:tcBorders>
            <w:vAlign w:val="center"/>
          </w:tcPr>
          <w:p w14:paraId="3EDA815F">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15万</w:t>
            </w:r>
          </w:p>
        </w:tc>
      </w:tr>
      <w:tr w14:paraId="5C23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D34216C">
            <w:pPr>
              <w:jc w:val="center"/>
              <w:rPr>
                <w:rFonts w:ascii="宋体" w:hAnsi="宋体" w:eastAsia="宋体" w:cs="宋体"/>
                <w:sz w:val="24"/>
                <w:szCs w:val="24"/>
                <w:highlight w:val="none"/>
              </w:rPr>
            </w:pPr>
            <w:r>
              <w:rPr>
                <w:rFonts w:hint="eastAsia" w:ascii="宋体" w:hAnsi="宋体" w:eastAsia="宋体" w:cs="宋体"/>
                <w:sz w:val="24"/>
                <w:szCs w:val="24"/>
                <w:highlight w:val="none"/>
              </w:rPr>
              <w:t>3</w:t>
            </w:r>
          </w:p>
        </w:tc>
        <w:tc>
          <w:tcPr>
            <w:tcW w:w="1938" w:type="pct"/>
            <w:tcBorders>
              <w:top w:val="single" w:color="auto" w:sz="4" w:space="0"/>
              <w:left w:val="single" w:color="auto" w:sz="4" w:space="0"/>
              <w:bottom w:val="single" w:color="auto" w:sz="4" w:space="0"/>
              <w:right w:val="single" w:color="auto" w:sz="4" w:space="0"/>
            </w:tcBorders>
            <w:vAlign w:val="center"/>
          </w:tcPr>
          <w:p w14:paraId="63328913">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绩效工资</w:t>
            </w:r>
          </w:p>
        </w:tc>
        <w:tc>
          <w:tcPr>
            <w:tcW w:w="2492" w:type="pct"/>
            <w:tcBorders>
              <w:top w:val="single" w:color="auto" w:sz="4" w:space="0"/>
              <w:left w:val="single" w:color="auto" w:sz="4" w:space="0"/>
              <w:bottom w:val="single" w:color="auto" w:sz="4" w:space="0"/>
              <w:right w:val="single" w:color="auto" w:sz="4" w:space="0"/>
            </w:tcBorders>
            <w:vAlign w:val="center"/>
          </w:tcPr>
          <w:p w14:paraId="66F93E9D">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6万</w:t>
            </w:r>
          </w:p>
        </w:tc>
      </w:tr>
      <w:tr w14:paraId="358D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686AF257">
            <w:pPr>
              <w:jc w:val="center"/>
              <w:rPr>
                <w:rFonts w:ascii="宋体" w:hAnsi="宋体" w:eastAsia="宋体" w:cs="宋体"/>
                <w:sz w:val="24"/>
                <w:szCs w:val="24"/>
                <w:highlight w:val="none"/>
              </w:rPr>
            </w:pPr>
            <w:r>
              <w:rPr>
                <w:rFonts w:hint="eastAsia" w:ascii="宋体" w:hAnsi="宋体" w:eastAsia="宋体" w:cs="宋体"/>
                <w:sz w:val="24"/>
                <w:szCs w:val="24"/>
                <w:highlight w:val="none"/>
              </w:rPr>
              <w:t>4</w:t>
            </w:r>
          </w:p>
        </w:tc>
        <w:tc>
          <w:tcPr>
            <w:tcW w:w="1938" w:type="pct"/>
            <w:tcBorders>
              <w:top w:val="single" w:color="auto" w:sz="4" w:space="0"/>
              <w:left w:val="single" w:color="auto" w:sz="4" w:space="0"/>
              <w:bottom w:val="single" w:color="auto" w:sz="4" w:space="0"/>
              <w:right w:val="single" w:color="auto" w:sz="4" w:space="0"/>
            </w:tcBorders>
            <w:vAlign w:val="center"/>
          </w:tcPr>
          <w:p w14:paraId="4D1E6EA5">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保洁工具、材料</w:t>
            </w:r>
          </w:p>
        </w:tc>
        <w:tc>
          <w:tcPr>
            <w:tcW w:w="2492" w:type="pct"/>
            <w:tcBorders>
              <w:top w:val="single" w:color="auto" w:sz="4" w:space="0"/>
              <w:left w:val="single" w:color="auto" w:sz="4" w:space="0"/>
              <w:bottom w:val="single" w:color="auto" w:sz="4" w:space="0"/>
              <w:right w:val="single" w:color="auto" w:sz="4" w:space="0"/>
            </w:tcBorders>
            <w:vAlign w:val="center"/>
          </w:tcPr>
          <w:p w14:paraId="263BD8AB">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1万</w:t>
            </w:r>
          </w:p>
        </w:tc>
      </w:tr>
      <w:tr w14:paraId="3097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500" w:type="pct"/>
            <w:gridSpan w:val="2"/>
            <w:tcBorders>
              <w:top w:val="single" w:color="auto" w:sz="4" w:space="0"/>
              <w:left w:val="single" w:color="auto" w:sz="4" w:space="0"/>
              <w:bottom w:val="single" w:color="auto" w:sz="4" w:space="0"/>
              <w:right w:val="single" w:color="auto" w:sz="4" w:space="0"/>
            </w:tcBorders>
            <w:vAlign w:val="center"/>
          </w:tcPr>
          <w:p w14:paraId="2F4D3D05">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总价</w:t>
            </w:r>
          </w:p>
        </w:tc>
        <w:tc>
          <w:tcPr>
            <w:tcW w:w="2500" w:type="pct"/>
            <w:gridSpan w:val="2"/>
            <w:tcBorders>
              <w:top w:val="single" w:color="auto" w:sz="4" w:space="0"/>
              <w:left w:val="single" w:color="auto" w:sz="4" w:space="0"/>
              <w:bottom w:val="single" w:color="auto" w:sz="4" w:space="0"/>
              <w:right w:val="single" w:color="auto" w:sz="4" w:space="0"/>
            </w:tcBorders>
            <w:vAlign w:val="center"/>
          </w:tcPr>
          <w:p w14:paraId="4DD21C37">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99万</w:t>
            </w:r>
          </w:p>
        </w:tc>
      </w:tr>
    </w:tbl>
    <w:p w14:paraId="3D372613">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6D465A5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2、服务项目范围：主要负责学生日常行为规范训练、入学教育、日常军体课教学、国防教育、爱国主义教育等准军事化管理。住校学生宿舍管理、卫生、生活习惯及所有在校学生校园内安全。</w:t>
      </w:r>
    </w:p>
    <w:p w14:paraId="3E3CE9D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3、服务方式：</w:t>
      </w:r>
    </w:p>
    <w:p w14:paraId="202318F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按照招标人要求服务。</w:t>
      </w:r>
    </w:p>
    <w:p w14:paraId="432CE1FA">
      <w:pPr>
        <w:numPr>
          <w:ilvl w:val="0"/>
          <w:numId w:val="0"/>
        </w:numPr>
        <w:spacing w:line="360" w:lineRule="auto"/>
        <w:ind w:firstLine="241" w:firstLineChars="100"/>
        <w:rPr>
          <w:rFonts w:hint="eastAsia" w:ascii="宋体" w:hAnsi="宋体" w:eastAsia="宋体" w:cs="宋体"/>
          <w:b/>
          <w:sz w:val="24"/>
          <w:szCs w:val="24"/>
          <w:highlight w:val="none"/>
        </w:rPr>
      </w:pPr>
    </w:p>
    <w:p w14:paraId="3E80D2CF">
      <w:pPr>
        <w:numPr>
          <w:ilvl w:val="0"/>
          <w:numId w:val="0"/>
        </w:numPr>
        <w:spacing w:line="360" w:lineRule="auto"/>
        <w:ind w:firstLine="241" w:firstLineChars="100"/>
        <w:rPr>
          <w:rFonts w:hint="eastAsia" w:ascii="宋体" w:hAnsi="宋体" w:eastAsia="宋体" w:cs="宋体"/>
          <w:b/>
          <w:sz w:val="24"/>
          <w:szCs w:val="24"/>
          <w:highlight w:val="none"/>
        </w:rPr>
      </w:pPr>
      <w:r>
        <w:rPr>
          <w:rFonts w:hint="eastAsia" w:ascii="宋体" w:hAnsi="宋体" w:eastAsia="宋体" w:cs="宋体"/>
          <w:b/>
          <w:sz w:val="24"/>
          <w:szCs w:val="24"/>
          <w:highlight w:val="none"/>
        </w:rPr>
        <w:t>三、服务需求</w:t>
      </w:r>
    </w:p>
    <w:p w14:paraId="15CF129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项目人员要求</w:t>
      </w:r>
    </w:p>
    <w:p w14:paraId="20CF457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1、配备11名教官（6男5女，含项目负责人），教官团队党员人数所占比例不低于30%。</w:t>
      </w:r>
      <w:r>
        <w:rPr>
          <w:rFonts w:hint="eastAsia" w:ascii="宋体" w:hAnsi="宋体" w:eastAsia="宋体" w:cs="宋体"/>
          <w:bCs/>
          <w:sz w:val="24"/>
          <w:szCs w:val="24"/>
          <w:highlight w:val="none"/>
          <w:lang w:eastAsia="zh-CN"/>
        </w:rPr>
        <w:t>宿</w:t>
      </w:r>
      <w:r>
        <w:rPr>
          <w:rFonts w:hint="eastAsia" w:ascii="宋体" w:hAnsi="宋体" w:eastAsia="宋体" w:cs="宋体"/>
          <w:bCs/>
          <w:sz w:val="24"/>
          <w:szCs w:val="24"/>
          <w:highlight w:val="none"/>
        </w:rPr>
        <w:t>管保洁人员不少于5人（女</w:t>
      </w:r>
      <w:r>
        <w:rPr>
          <w:rFonts w:hint="eastAsia" w:ascii="宋体" w:hAnsi="宋体" w:eastAsia="宋体" w:cs="宋体"/>
          <w:bCs/>
          <w:sz w:val="24"/>
          <w:szCs w:val="24"/>
          <w:highlight w:val="none"/>
          <w:lang w:eastAsia="zh-CN"/>
        </w:rPr>
        <w:t>宿</w:t>
      </w:r>
      <w:r>
        <w:rPr>
          <w:rFonts w:hint="eastAsia" w:ascii="宋体" w:hAnsi="宋体" w:eastAsia="宋体" w:cs="宋体"/>
          <w:bCs/>
          <w:sz w:val="24"/>
          <w:szCs w:val="24"/>
          <w:highlight w:val="none"/>
        </w:rPr>
        <w:t>管保洁人员不少于3人）。</w:t>
      </w:r>
    </w:p>
    <w:p w14:paraId="07F92FD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*2、男教官必须是退伍军人身份,5年及以上兵龄，年龄不超过45周岁，具有部队颁发的退伍证或提供退出现役登记表。</w:t>
      </w:r>
    </w:p>
    <w:p w14:paraId="5775A6A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3、女教官（非项目负责人）为退役军人或警校毕业生，须毕业后有两年及以上工作经验或具有从事学校准军事化管理类似项目两年及以上经验，年龄不超过40周岁，无犯罪记录，提供无犯罪记录证明。</w:t>
      </w:r>
    </w:p>
    <w:p w14:paraId="000EEFB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4、项目负责人（总教官）：在所有教官中明确一名教官为项目负责人。</w:t>
      </w:r>
    </w:p>
    <w:p w14:paraId="47688DC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项目负责人的要求及职责：</w:t>
      </w:r>
    </w:p>
    <w:p w14:paraId="5A9E6E6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项目负责人须为本单位正式员工，退役军人，大专及以上学历，30-45周岁，具有优秀士兵证书或优秀士官证书或三等功及以上证书，无犯罪记录，有3年及以上学校准军事化管理工作经历。（须提供劳动合同、部队颁发的退伍证或退出现役登记表、学历证书或学信网截图、优秀士兵证书或优秀士官证书或三等功及以上证书、无犯罪记录证明，准军事化管理工作经历须提供业绩合同或校方证明）</w:t>
      </w:r>
    </w:p>
    <w:p w14:paraId="0C371EE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项目负责人具有良好的个人形象与气质，有高度的责任感，团队协作能力强，有较强的沟通协调能力，具有较强的亲和力及洞察力，善于处置矛盾纠纷，能及时疏导学生心理不良情绪，能根据中职学生年龄特征、熟练组织120人及以上学生日常训练，能独立处置学生训练中有关运动伤害及突发安全问题，具有一定的领导能力。</w:t>
      </w:r>
    </w:p>
    <w:p w14:paraId="7F0ED2C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项目负责人必须驻点本校负责管理；配合学校做好规章制度的制定，做好考勤考核管理，及时收集和反馈工作中存在的问题，及时协调师生投诉，认真听取师生的合理化建议，协调好教官与班主任、教官与学生的关系。</w:t>
      </w:r>
    </w:p>
    <w:p w14:paraId="11DF5A2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（4）能承担一名军体课教官的岗位职责和工作量。</w:t>
      </w:r>
    </w:p>
    <w:p w14:paraId="44E2CF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（5）负责管理所有教官，根据校方工作和要求，统筹协调安排委托内容中临时性、季节性、综合性服务等工作，确保校方所有合同内的工作顺利进行；</w:t>
      </w:r>
    </w:p>
    <w:p w14:paraId="22B66FB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（6）遇学校重大活动需主动配合，不得推诿；</w:t>
      </w:r>
    </w:p>
    <w:p w14:paraId="094F5ED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（7）服从学校相关部门的管理。</w:t>
      </w:r>
    </w:p>
    <w:p w14:paraId="76C1B11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5、技术负责人：由投标单位另行安排技术负责人，对本项目工作进行技术指导及监督。</w:t>
      </w:r>
    </w:p>
    <w:p w14:paraId="5C7A931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三、项目组织方式和管理内容 </w:t>
      </w:r>
    </w:p>
    <w:p w14:paraId="26137C3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（一）基本规定 </w:t>
      </w:r>
    </w:p>
    <w:p w14:paraId="0B36B5D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1、在岗时间规定：学生在校期间 </w:t>
      </w:r>
    </w:p>
    <w:p w14:paraId="554E493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注：节假日期间由中标单位统一安排人员值班。 </w:t>
      </w:r>
    </w:p>
    <w:p w14:paraId="0636EDA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2、服务要求： </w:t>
      </w:r>
    </w:p>
    <w:p w14:paraId="62FC7CC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（1）按规定的人数上岗，执行岗位职责、服务质量标准，承担管理服务、安全运行责任，达到全职全责，尽职尽责。</w:t>
      </w:r>
    </w:p>
    <w:p w14:paraId="74E86D2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（2）应建立教官培训制度，组织教官定期参加技能培训。 教官必须经培训合格后上岗，胜任本职、本岗工作。凡达不到工作要求的教官，公司要及时调换。</w:t>
      </w:r>
    </w:p>
    <w:p w14:paraId="6D683E7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（3）教官应佩戴统一标识，统一着装，标志明显，文明上岗。自觉遵守本公司相关规章制度。对在校学生咨询、求助、投诉等应及时处理，并记录存档。 </w:t>
      </w:r>
    </w:p>
    <w:p w14:paraId="7CC63F1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（4）应根据学生人数，配置相应数量的人员，如学校情况发生变化，人员配置根据学校工作实际需求，对教官人数进行适当调整。</w:t>
      </w:r>
    </w:p>
    <w:p w14:paraId="1104EE5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（5）实行专业对口监管和业务工作指导、每月对工作质量进行质量考核，并及时协调工作中出现的问题。</w:t>
      </w:r>
    </w:p>
    <w:p w14:paraId="0E614F3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（6）必须遵守双方共同制定的服务管理检查考核标准，并接受委托方监管考核；</w:t>
      </w:r>
    </w:p>
    <w:p w14:paraId="393FA32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3、制度建设</w:t>
      </w:r>
    </w:p>
    <w:p w14:paraId="685C7FB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（1）根据学校的具体情况，制定管理方案和管理流程。 </w:t>
      </w:r>
    </w:p>
    <w:p w14:paraId="0BDB4E3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（2）将岗位职责、操作流程在服务场所明示。 </w:t>
      </w:r>
    </w:p>
    <w:p w14:paraId="194B302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4、服务质量和风险控制 </w:t>
      </w:r>
    </w:p>
    <w:p w14:paraId="0696D7D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（1）建立质量内控制度，定期对管理质量进行检查与评价，提供绩效评价考核方案。</w:t>
      </w:r>
    </w:p>
    <w:p w14:paraId="023367F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（2）建立风险控制机制，对管理过程中可能产生的各类风险进行识别、评估、管控。 </w:t>
      </w:r>
    </w:p>
    <w:p w14:paraId="52556EB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5、应急预案 </w:t>
      </w:r>
    </w:p>
    <w:p w14:paraId="2A04047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（1）应定期组织相关人员对应急预案进行培训；</w:t>
      </w:r>
    </w:p>
    <w:p w14:paraId="6742C8F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（2）突发事件发生时，做好以下工作： </w:t>
      </w:r>
    </w:p>
    <w:p w14:paraId="310DAFC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①立即启动应急预案，同时报告委托单位和有关部门，并协助采取相应措施； </w:t>
      </w:r>
    </w:p>
    <w:p w14:paraId="3B89326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②迅速展开指挥协调、信息报告、紧急处置、秩序维护、抢险救援、后勤保障、协助保护现场和证据等工作，防止事态扩大，尽可能减少破坏和损失程度，并配合相关部门做好善后工作； </w:t>
      </w:r>
    </w:p>
    <w:p w14:paraId="16A75C8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③撰写突发事件处理报告，内容包括处置过程、原因调查、结果评估、预案改进建议等，并向委托单位和相关行政主管部门报告。 </w:t>
      </w:r>
    </w:p>
    <w:p w14:paraId="09B1FB0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（二）具体要求与标准 </w:t>
      </w:r>
    </w:p>
    <w:p w14:paraId="42D733B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1、学生日常生活的准军事化管理。</w:t>
      </w:r>
    </w:p>
    <w:p w14:paraId="433C455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（1）具体要求： </w:t>
      </w:r>
    </w:p>
    <w:p w14:paraId="0E19729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准军事化管理主要开展学生一日生活全时段准军事化管理，管理对象是全体在校学生，主要对学生宿舍内务状况的日常行为进行准军事化管理。 </w:t>
      </w:r>
    </w:p>
    <w:p w14:paraId="1EED91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（2）组织方式： </w:t>
      </w:r>
    </w:p>
    <w:p w14:paraId="34BB0BC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实施之初，首先对高一年级的新生进行为期 15 天的入学军训或夏令营。围绕“队列、军体、内务整理、早操、紧急集合、法制教育”等方面进行，以培养学生令行禁止的纪律观念，为新生入学后的准军事化管理奠定了良好的基础。 以男女住宿生各自所住的楼层为单位，按 3-4 个教学班约 150 人为标准，组建一支国防大队，由教官任大队长并任各班副班主任，各班主任任指导员，班主任为班级管理第一责任人，班级实行班主任和教官双重管理，班主任负责学生班级管理及思想品德教育等日常性管理，教官负责一日生活制度准军事化管理的执行与落实以及课间巡查，并配合班主任完成其他需要配合的工作。 </w:t>
      </w:r>
    </w:p>
    <w:p w14:paraId="33CF32A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（3）宿舍管理内容: </w:t>
      </w:r>
    </w:p>
    <w:p w14:paraId="6D418B2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①地面清洁，墙壁和床头不得随便张贴画报、写字或画画等。做到地面、天花板、墙壁干净。 </w:t>
      </w:r>
    </w:p>
    <w:p w14:paraId="1175D12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②除午休、晚上就寝外，被子折叠规范后放在规定位置，床铺始终保持整洁。 </w:t>
      </w:r>
    </w:p>
    <w:p w14:paraId="10B44CD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③个人的箱包、衣物用具、生活用品等按规定统一放置，鞋子整齐摆放在床下固定位置。 </w:t>
      </w:r>
    </w:p>
    <w:p w14:paraId="3456898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④保持衣柜、门窗、玻璃、灯具等无灰尘、无污迹，按时将垃圾清扫并倒入垃圾道内。 </w:t>
      </w:r>
    </w:p>
    <w:p w14:paraId="78527EF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⑤室内不准拉绳、乱挂衣物。 </w:t>
      </w:r>
    </w:p>
    <w:p w14:paraId="6420CF6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⑥不得将外卖、泡面奶茶等违禁食品、饮品带入寝室、教室、实训室等场所，保持室内空气清新，无异味。 </w:t>
      </w:r>
    </w:p>
    <w:p w14:paraId="367F70F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（4） 管理重点 </w:t>
      </w:r>
    </w:p>
    <w:p w14:paraId="601CA1B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重点针对以下违规、违纪行为进行管理，坚决抵制，均不姑息: </w:t>
      </w:r>
    </w:p>
    <w:p w14:paraId="7C35BBC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①休息时间在楼道内喧哗、播放音响等影响他人学习和休息。 </w:t>
      </w:r>
    </w:p>
    <w:p w14:paraId="09C0558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②乱倒剩饭菜、随地堆放垃圾，向楼道、窗外泼水、乱扔纸屑及其他杂物，在墙壁、门窗上乱贴乱画、涂抹污物，随地便溺、饲养小动物等。 </w:t>
      </w:r>
    </w:p>
    <w:p w14:paraId="3AE9A4E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③夜不归宿，翻墙头或擅自留宿外来人员。 </w:t>
      </w:r>
    </w:p>
    <w:p w14:paraId="1BE84DA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④带入易燃易爆等危险品危害宿舍安全。 </w:t>
      </w:r>
    </w:p>
    <w:p w14:paraId="247F9F9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⑤聚众斗殴、起哄闹事，酗酒、摔砸酒瓶等引发事端 。</w:t>
      </w:r>
    </w:p>
    <w:p w14:paraId="1F7CC4C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⑥拉帮结伙、搞小团体主义，嘲笑、欺辱、打骂其他同学。 </w:t>
      </w:r>
    </w:p>
    <w:p w14:paraId="0CE7ADA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 相关活动 </w:t>
      </w:r>
    </w:p>
    <w:p w14:paraId="235034C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①开展“文明宿舍”、“优秀宿舍长”、评选活动，文明宿舍每月评比一次，占宿舍总数的 20%，“优秀宿舍长”每月评比一次。</w:t>
      </w:r>
    </w:p>
    <w:p w14:paraId="570BD9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②给“文明宿舍”颁发流动红旗，对其宿舍成员进行物资奖励，对“优秀宿舍长”不但进行物资奖励， 而且作为学生评优、入团的重要条件。</w:t>
      </w:r>
    </w:p>
    <w:p w14:paraId="510A1BA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③开展“国防教育”专题讲座，“军事特色竞赛”，增强校园安全教育使命感、责任感和紧迫感。</w:t>
      </w:r>
    </w:p>
    <w:p w14:paraId="73317A3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④组建特色社团，丰富校园文化，使学生始终身处良好氛围环境之中。保持积极向上、坚毅坚韧、自强不息的处世态度。 </w:t>
      </w:r>
    </w:p>
    <w:p w14:paraId="55D3E25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2、具体标准： </w:t>
      </w:r>
    </w:p>
    <w:p w14:paraId="0CFF845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（1）6:00—6:30 起床，组织学生出早操 </w:t>
      </w:r>
    </w:p>
    <w:p w14:paraId="0B2C8F0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（2）6:30—7:00 组织学生食堂进行早餐 </w:t>
      </w:r>
    </w:p>
    <w:p w14:paraId="0C43347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（3）7:10—7:40 组织学生宿舍卫生内务整理 </w:t>
      </w:r>
    </w:p>
    <w:p w14:paraId="74CD1E3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（4）7:40—7:50 课前集合清查人员进班级上课</w:t>
      </w:r>
    </w:p>
    <w:p w14:paraId="23BBDEF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（5）7：50-8：05  组织学生早读、检查迟到情况</w:t>
      </w:r>
    </w:p>
    <w:p w14:paraId="64B5943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（6）8：55—9：15广播操：协助学校体卫部门、班主任组织全体学生做好广播操。</w:t>
      </w:r>
    </w:p>
    <w:p w14:paraId="2AD4995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（7）11：45—12：30协助保卫科食堂维持午餐秩序，围墙巡视，杜绝点外卖。</w:t>
      </w:r>
    </w:p>
    <w:p w14:paraId="23C3A90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（8）12:40—13:30组织学生到宿舍午休，走读生在教室休息 </w:t>
      </w:r>
    </w:p>
    <w:p w14:paraId="2208ACA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（9）13:30—13:45 午休起床 15分钟整理内务 </w:t>
      </w:r>
    </w:p>
    <w:p w14:paraId="37E7ED3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（10）13:45—14:00 集中学生清点人数，送入班级 </w:t>
      </w:r>
    </w:p>
    <w:p w14:paraId="2473E86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（11）15:45— 16:45 教官组织学生开展国防教育理论课和军事体育课</w:t>
      </w:r>
    </w:p>
    <w:p w14:paraId="6F158CC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（12）16：50—18：40学生就餐、洗澡，教官校园排班巡视</w:t>
      </w:r>
    </w:p>
    <w:p w14:paraId="5E1BB5E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（13）18:50—19:00 教官集合清点人数，送进班级上晚自习 </w:t>
      </w:r>
    </w:p>
    <w:p w14:paraId="66654A7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（14）19:00—20:30 教官配合学校巡视校园 </w:t>
      </w:r>
    </w:p>
    <w:p w14:paraId="23C9D4C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（15）20:40—21:30 教官对校园盲区、宿舍楼道进行巡视</w:t>
      </w:r>
    </w:p>
    <w:p w14:paraId="67B544E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（16）21:30—21:50 教官组织晚点名、查房清点人数，维持秩序 </w:t>
      </w:r>
    </w:p>
    <w:p w14:paraId="321010F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（17）22:00 关灯就寝 </w:t>
      </w:r>
    </w:p>
    <w:p w14:paraId="67757FA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（18）23:30—6:00 教官不定期对宿舍巡查，确保宿舍夜间秩序安静。 </w:t>
      </w:r>
    </w:p>
    <w:p w14:paraId="5DC98FE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注：（学生在校期间教官及宿管，按以上时间节点要求，履责尽职） </w:t>
      </w:r>
    </w:p>
    <w:p w14:paraId="22A6CDA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19）建立并不断完善学生宿舍管理条例，使学生在校住宿期间有章可循，使之养成良好的生活保障和学习习惯，经常对学生进行生活指导，以彰显关爱、关心的态度，保障学生在校期间的生活和健康。（严禁辱骂、体罚学生、吃拿卡要等）。 </w:t>
      </w:r>
    </w:p>
    <w:p w14:paraId="59F5E57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（20）督促学生按时作息，抓好中午、夜间就寝纪律。值班教官进行查寝，按时熄灯、锁门，并做好记录；有特殊情况应妥善处理，并及时向当天值日领导反映。 </w:t>
      </w:r>
    </w:p>
    <w:p w14:paraId="249544D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（21）按规定时间供电、关电。检查学生宿舍有否使用电器，一经发现及时收缴，作好记录，并将有关违纪的人和事的处理结果及时向学校值班领导报告。 </w:t>
      </w:r>
    </w:p>
    <w:p w14:paraId="5EC760E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（22）发生突发事件（如停电、起哄、火灾、打架）要及时赶到现场处理， 并及时向所管楼层负责教官及有关领导报告。 </w:t>
      </w:r>
    </w:p>
    <w:p w14:paraId="30E847D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（23）制止下列行为的发生： </w:t>
      </w:r>
    </w:p>
    <w:p w14:paraId="4CE6376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①异性进入学生宿舍和外来人员借宿；</w:t>
      </w:r>
    </w:p>
    <w:p w14:paraId="36634B4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②学生带酒（啤酒和烈性酒）、易燃、易爆物品、管制刀具； </w:t>
      </w:r>
    </w:p>
    <w:p w14:paraId="0A19D61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③损坏公物。</w:t>
      </w:r>
    </w:p>
    <w:p w14:paraId="3C44D5E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④违禁饮料、食品；</w:t>
      </w:r>
    </w:p>
    <w:p w14:paraId="2B06DAF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⑤各种明火；</w:t>
      </w:r>
    </w:p>
    <w:p w14:paraId="255BABA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⑥玩手机；</w:t>
      </w:r>
    </w:p>
    <w:p w14:paraId="65620C9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⑦上述未涉及到的其他所有违禁物品。 </w:t>
      </w:r>
    </w:p>
    <w:p w14:paraId="08F267B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（24）教官、宿管应尊重学校师生员工，无条件服从学校管理。 </w:t>
      </w:r>
    </w:p>
    <w:p w14:paraId="10BEE46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四、备注</w:t>
      </w:r>
    </w:p>
    <w:p w14:paraId="66576E7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1、投标报价包含人员工资、五险（养老、医疗、失业、生育、工伤保险)、劳保福利、节假日加班、人员服装、税金等费用以及企业运行所需的其它费用及经营利润。</w:t>
      </w:r>
    </w:p>
    <w:p w14:paraId="7CDCFAD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2、校方提供：办公场所、办公桌椅；根据需要在适合的楼层配备员工休息室；学校承担因服务工作消耗的水电费用及学校安排的项目外工作费用等。</w:t>
      </w:r>
    </w:p>
    <w:p w14:paraId="10CD91CF">
      <w:pPr>
        <w:spacing w:line="360" w:lineRule="auto"/>
        <w:ind w:firstLine="437"/>
        <w:rPr>
          <w:rFonts w:hint="eastAsia" w:ascii="宋体" w:hAnsi="宋体" w:eastAsia="宋体" w:cs="宋体"/>
          <w:b/>
          <w:sz w:val="24"/>
          <w:szCs w:val="24"/>
          <w:highlight w:val="none"/>
        </w:rPr>
      </w:pPr>
      <w:r>
        <w:rPr>
          <w:rFonts w:hint="eastAsia" w:ascii="宋体" w:hAnsi="宋体" w:eastAsia="宋体" w:cs="宋体"/>
          <w:bCs/>
          <w:sz w:val="24"/>
          <w:szCs w:val="24"/>
          <w:highlight w:val="none"/>
        </w:rPr>
        <w:t>3、如果在管理过程中，出现管理不到位或责任事故将追究公司的管理责任并扣除一定的费用（扣除标准依据甲乙双方约定的考核办法）。</w:t>
      </w:r>
    </w:p>
    <w:p w14:paraId="76B7A8A9">
      <w:pPr>
        <w:numPr>
          <w:ilvl w:val="0"/>
          <w:numId w:val="4"/>
        </w:numPr>
        <w:spacing w:line="360" w:lineRule="auto"/>
        <w:ind w:firstLine="437"/>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报价要求</w:t>
      </w:r>
    </w:p>
    <w:p w14:paraId="423BD308">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1 响应报价（含最后报价，下同）全部采用人民币表示。响应报价采用综合单价法，综合单价为全费用综合单价，综合单价包括但不限于为完成项目全部内容所发生的：各项服务（货物）所有辅材、安装、利润、税金、政策性文件规定及合同包含的所有风险、责任、义务等，即为完成招标文件要求的服务（货物）内容所包含的一切应有费用，中标价格今后将不作任何调整，采购人后期不再追加费用，投标投标人自行考虑投标风险。</w:t>
      </w:r>
    </w:p>
    <w:p w14:paraId="732CF1BF">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响应报价一览表上应清楚地标明供应商拟提供货物或服务的总价。 </w:t>
      </w:r>
    </w:p>
    <w:p w14:paraId="2186BADA">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 供应商只允许有一个方案、一个报价。 </w:t>
      </w:r>
    </w:p>
    <w:p w14:paraId="184ECB07">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供应商的响应报价应为完成本项目所需的所有费用，不得采用总价下浮的方式进行报价。报价包含但不限于完成采购内容及服务要求所需的全部费用、后期服务以及国家对中标单位征收的各种税费等所有一切费用，合同价今后将不作任何调整，采购人将不再支付任何费用。 </w:t>
      </w:r>
    </w:p>
    <w:p w14:paraId="680CEE6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 响应报价的价格是完成项目全部工作内容（包括后期的相关服务）的价格。 </w:t>
      </w:r>
    </w:p>
    <w:p w14:paraId="268B1AD6">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 因供应商对磋商文件阅读不深、理解不透、误解、疏漏、或因市场行情了解不清造成的后果和风险均由各供应商自负，采购人将认为这些费用供应商已计取，并包含在报价中。 </w:t>
      </w:r>
    </w:p>
    <w:p w14:paraId="03B07F1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 供应商的报价不得高于本次最高限价，否则将作为无效响应处理。最高限价详见供应商须知前附表。 </w:t>
      </w:r>
    </w:p>
    <w:p w14:paraId="255B21E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 如响应文件中未列明全面实现响应服务功能而必须配置的配套或辅助设施及相应技术措施的费用，这些费用将被视为已包含在报价中。 </w:t>
      </w:r>
    </w:p>
    <w:p w14:paraId="450CCC4E">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 磋商报价中不得包含磋商文件要求以外的内容，否则，在评审时不予核减，但在授予合同时，采购人有权将这部分价格从其成交价格中扣除。 </w:t>
      </w:r>
    </w:p>
    <w:p w14:paraId="250D258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10 磋商报价中不得缺漏磋商文件所要求的内容，否则，评审时将有效响应中该项内容的最高价计入其评标总价，但在授予合同时，缺漏项目的报价视作已含在其他项目的报价中，这些项目将作为免费赠送而包含在合同内。</w:t>
      </w:r>
      <w:r>
        <w:rPr>
          <w:rFonts w:hint="eastAsia" w:ascii="宋体" w:hAnsi="宋体" w:eastAsia="宋体" w:cs="宋体"/>
          <w:sz w:val="24"/>
          <w:szCs w:val="24"/>
          <w:highlight w:val="none"/>
        </w:rPr>
        <w:br w:type="page"/>
      </w:r>
    </w:p>
    <w:p w14:paraId="087AA5D3">
      <w:pPr>
        <w:jc w:val="center"/>
        <w:rPr>
          <w:rFonts w:ascii="宋体" w:hAnsi="宋体" w:eastAsia="宋体" w:cs="宋体"/>
          <w:b/>
          <w:bCs/>
          <w:highlight w:val="none"/>
        </w:rPr>
      </w:pPr>
      <w:r>
        <w:rPr>
          <w:rFonts w:hint="eastAsia" w:ascii="宋体" w:hAnsi="宋体" w:eastAsia="宋体" w:cs="宋体"/>
          <w:b/>
          <w:bCs/>
          <w:sz w:val="28"/>
          <w:szCs w:val="28"/>
          <w:highlight w:val="none"/>
        </w:rPr>
        <w:t>四、评分标准</w:t>
      </w:r>
      <w:bookmarkEnd w:id="82"/>
      <w:bookmarkEnd w:id="83"/>
      <w:bookmarkEnd w:id="84"/>
    </w:p>
    <w:p w14:paraId="102A75A0">
      <w:pPr>
        <w:spacing w:line="480" w:lineRule="exact"/>
        <w:jc w:val="left"/>
        <w:rPr>
          <w:rFonts w:ascii="宋体" w:hAnsi="宋体" w:cs="宋体"/>
          <w:sz w:val="24"/>
          <w:szCs w:val="24"/>
          <w:highlight w:val="none"/>
        </w:rPr>
      </w:pPr>
      <w:r>
        <w:rPr>
          <w:rFonts w:hint="eastAsia" w:ascii="宋体" w:hAnsi="宋体" w:cs="宋体"/>
          <w:sz w:val="24"/>
          <w:szCs w:val="24"/>
          <w:highlight w:val="none"/>
        </w:rPr>
        <w:t>1、本次磋商采用百分制评分法，商务（报价）权重</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u w:val="single"/>
        </w:rPr>
        <w:t>%</w:t>
      </w:r>
      <w:r>
        <w:rPr>
          <w:rFonts w:hint="eastAsia" w:ascii="宋体" w:hAnsi="宋体" w:cs="宋体"/>
          <w:sz w:val="24"/>
          <w:szCs w:val="24"/>
          <w:highlight w:val="none"/>
        </w:rPr>
        <w:t>，经评审满足磋商文件要求且最后报价最低的供应商的价格为磋商基准价，其价格为满分，得</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rPr>
        <w:t>分。其他供应商的价格分统一按照下列公式计算：</w:t>
      </w:r>
    </w:p>
    <w:p w14:paraId="2378AC83">
      <w:pPr>
        <w:spacing w:line="48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磋商报价得分=（磋商基准价/最后磋商报价）×</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rPr>
        <w:t>%×100。</w:t>
      </w:r>
    </w:p>
    <w:p w14:paraId="699D5CFA">
      <w:pPr>
        <w:spacing w:line="480" w:lineRule="exact"/>
        <w:jc w:val="left"/>
        <w:rPr>
          <w:rFonts w:ascii="宋体" w:hAnsi="宋体" w:cs="宋体"/>
          <w:sz w:val="24"/>
          <w:szCs w:val="24"/>
          <w:highlight w:val="none"/>
        </w:rPr>
      </w:pPr>
      <w:r>
        <w:rPr>
          <w:rFonts w:hint="eastAsia" w:ascii="宋体" w:hAnsi="宋体" w:cs="宋体"/>
          <w:sz w:val="24"/>
          <w:szCs w:val="24"/>
          <w:highlight w:val="none"/>
        </w:rPr>
        <w:t>注：超过最高限价的最后磋商报价为无效报价，按废标处理。</w:t>
      </w:r>
    </w:p>
    <w:p w14:paraId="3C864F65">
      <w:pPr>
        <w:pStyle w:val="11"/>
        <w:spacing w:line="480" w:lineRule="exact"/>
        <w:ind w:firstLine="0"/>
        <w:rPr>
          <w:rFonts w:ascii="宋体" w:hAnsi="宋体" w:eastAsia="宋体" w:cs="宋体"/>
          <w:sz w:val="24"/>
          <w:szCs w:val="24"/>
          <w:highlight w:val="none"/>
        </w:rPr>
      </w:pPr>
      <w:r>
        <w:rPr>
          <w:rFonts w:hint="eastAsia" w:ascii="宋体" w:hAnsi="宋体" w:eastAsia="宋体" w:cs="宋体"/>
          <w:sz w:val="24"/>
          <w:szCs w:val="24"/>
          <w:highlight w:val="none"/>
        </w:rPr>
        <w:t>具体评分细则如下：</w:t>
      </w:r>
    </w:p>
    <w:tbl>
      <w:tblPr>
        <w:tblStyle w:val="34"/>
        <w:tblW w:w="5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1808"/>
        <w:gridCol w:w="4942"/>
        <w:gridCol w:w="1233"/>
      </w:tblGrid>
      <w:tr w14:paraId="51DC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39" w:type="pct"/>
            <w:tcBorders>
              <w:top w:val="single" w:color="auto" w:sz="4" w:space="0"/>
              <w:left w:val="single" w:color="auto" w:sz="4" w:space="0"/>
              <w:bottom w:val="single" w:color="auto" w:sz="4" w:space="0"/>
              <w:right w:val="single" w:color="auto" w:sz="4" w:space="0"/>
            </w:tcBorders>
            <w:vAlign w:val="center"/>
          </w:tcPr>
          <w:p w14:paraId="15BBCC59">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类别</w:t>
            </w:r>
          </w:p>
        </w:tc>
        <w:tc>
          <w:tcPr>
            <w:tcW w:w="965" w:type="pct"/>
            <w:tcBorders>
              <w:top w:val="single" w:color="auto" w:sz="4" w:space="0"/>
              <w:left w:val="single" w:color="auto" w:sz="4" w:space="0"/>
              <w:bottom w:val="single" w:color="auto" w:sz="4" w:space="0"/>
              <w:right w:val="single" w:color="auto" w:sz="4" w:space="0"/>
            </w:tcBorders>
            <w:vAlign w:val="center"/>
          </w:tcPr>
          <w:p w14:paraId="7FAA118C">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评分内容</w:t>
            </w:r>
          </w:p>
        </w:tc>
        <w:tc>
          <w:tcPr>
            <w:tcW w:w="2637" w:type="pct"/>
            <w:tcBorders>
              <w:top w:val="single" w:color="auto" w:sz="4" w:space="0"/>
              <w:left w:val="single" w:color="auto" w:sz="4" w:space="0"/>
              <w:bottom w:val="single" w:color="auto" w:sz="4" w:space="0"/>
              <w:right w:val="single" w:color="auto" w:sz="4" w:space="0"/>
            </w:tcBorders>
            <w:vAlign w:val="center"/>
          </w:tcPr>
          <w:p w14:paraId="567C7D94">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评分标准</w:t>
            </w:r>
          </w:p>
        </w:tc>
        <w:tc>
          <w:tcPr>
            <w:tcW w:w="658" w:type="pct"/>
            <w:tcBorders>
              <w:top w:val="single" w:color="auto" w:sz="4" w:space="0"/>
              <w:left w:val="single" w:color="auto" w:sz="4" w:space="0"/>
              <w:bottom w:val="single" w:color="auto" w:sz="4" w:space="0"/>
              <w:right w:val="single" w:color="auto" w:sz="4" w:space="0"/>
            </w:tcBorders>
            <w:vAlign w:val="center"/>
          </w:tcPr>
          <w:p w14:paraId="1589F048">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分值范围</w:t>
            </w:r>
          </w:p>
        </w:tc>
      </w:tr>
      <w:tr w14:paraId="446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restart"/>
            <w:tcBorders>
              <w:left w:val="single" w:color="auto" w:sz="4" w:space="0"/>
              <w:right w:val="single" w:color="auto" w:sz="4" w:space="0"/>
            </w:tcBorders>
            <w:vAlign w:val="center"/>
          </w:tcPr>
          <w:p w14:paraId="34D72773">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技术资信分</w:t>
            </w:r>
          </w:p>
          <w:p w14:paraId="50A797D0">
            <w:pPr>
              <w:spacing w:line="360" w:lineRule="auto"/>
              <w:jc w:val="both"/>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 xml:space="preserve"> </w:t>
            </w:r>
            <w:r>
              <w:rPr>
                <w:rFonts w:asciiTheme="minorEastAsia" w:hAnsiTheme="minorEastAsia" w:eastAsiaTheme="minorEastAsia"/>
                <w:szCs w:val="21"/>
                <w:highlight w:val="none"/>
                <w:u w:val="single"/>
              </w:rPr>
              <w:t>8</w:t>
            </w:r>
            <w:r>
              <w:rPr>
                <w:rFonts w:hint="eastAsia" w:asciiTheme="minorEastAsia" w:hAnsiTheme="minorEastAsia" w:eastAsiaTheme="minorEastAsia"/>
                <w:szCs w:val="21"/>
                <w:highlight w:val="none"/>
                <w:u w:val="single"/>
                <w:lang w:val="en-US" w:eastAsia="zh-CN"/>
              </w:rPr>
              <w:t>5</w:t>
            </w:r>
            <w:r>
              <w:rPr>
                <w:rFonts w:hint="eastAsia" w:asciiTheme="minorEastAsia" w:hAnsiTheme="minorEastAsia" w:eastAsiaTheme="minorEastAsia"/>
                <w:szCs w:val="21"/>
                <w:highlight w:val="none"/>
              </w:rPr>
              <w:t>分）</w:t>
            </w:r>
          </w:p>
        </w:tc>
        <w:tc>
          <w:tcPr>
            <w:tcW w:w="965" w:type="pct"/>
            <w:tcBorders>
              <w:top w:val="single" w:color="auto" w:sz="4" w:space="0"/>
              <w:left w:val="single" w:color="auto" w:sz="4" w:space="0"/>
              <w:bottom w:val="single" w:color="auto" w:sz="4" w:space="0"/>
              <w:right w:val="single" w:color="auto" w:sz="4" w:space="0"/>
            </w:tcBorders>
            <w:vAlign w:val="center"/>
          </w:tcPr>
          <w:p w14:paraId="27426676">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服务团队</w:t>
            </w:r>
          </w:p>
        </w:tc>
        <w:tc>
          <w:tcPr>
            <w:tcW w:w="2637" w:type="pct"/>
            <w:tcBorders>
              <w:top w:val="single" w:color="auto" w:sz="4" w:space="0"/>
              <w:left w:val="single" w:color="auto" w:sz="4" w:space="0"/>
              <w:bottom w:val="single" w:color="auto" w:sz="4" w:space="0"/>
              <w:right w:val="single" w:color="auto" w:sz="4" w:space="0"/>
            </w:tcBorders>
            <w:vAlign w:val="center"/>
          </w:tcPr>
          <w:p w14:paraId="1560498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1、拟为本项目配备的项目负责人（1名）</w:t>
            </w:r>
          </w:p>
          <w:p w14:paraId="3E0E25DF">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①</w:t>
            </w:r>
            <w:r>
              <w:rPr>
                <w:rFonts w:hint="eastAsia" w:asciiTheme="minorEastAsia" w:hAnsiTheme="minorEastAsia" w:eastAsiaTheme="minorEastAsia"/>
                <w:color w:val="0000FF"/>
                <w:szCs w:val="21"/>
                <w:highlight w:val="none"/>
              </w:rPr>
              <w:t>具有</w:t>
            </w:r>
            <w:r>
              <w:rPr>
                <w:rFonts w:hint="eastAsia" w:asciiTheme="minorEastAsia" w:hAnsiTheme="minorEastAsia" w:eastAsiaTheme="minorEastAsia"/>
                <w:color w:val="0000FF"/>
                <w:szCs w:val="21"/>
                <w:highlight w:val="none"/>
                <w:lang w:val="en-US" w:eastAsia="zh-CN"/>
              </w:rPr>
              <w:t>四有</w:t>
            </w:r>
            <w:r>
              <w:rPr>
                <w:rFonts w:hint="eastAsia" w:asciiTheme="minorEastAsia" w:hAnsiTheme="minorEastAsia" w:eastAsiaTheme="minorEastAsia"/>
                <w:color w:val="0000FF"/>
                <w:szCs w:val="21"/>
                <w:highlight w:val="none"/>
              </w:rPr>
              <w:t>士兵证书，得2分，本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最高得2分；</w:t>
            </w:r>
          </w:p>
          <w:p w14:paraId="15F8002C">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②</w:t>
            </w:r>
            <w:r>
              <w:rPr>
                <w:rFonts w:hint="eastAsia" w:asciiTheme="minorEastAsia" w:hAnsiTheme="minorEastAsia" w:eastAsiaTheme="minorEastAsia"/>
                <w:color w:val="0000FF"/>
                <w:szCs w:val="21"/>
                <w:highlight w:val="none"/>
              </w:rPr>
              <w:t>具有三等功及以上证书的，得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w:t>
            </w:r>
          </w:p>
          <w:p w14:paraId="630FED78">
            <w:pPr>
              <w:spacing w:line="360" w:lineRule="auto"/>
              <w:jc w:val="left"/>
              <w:rPr>
                <w:rFonts w:asciiTheme="minorEastAsia" w:hAnsiTheme="minorEastAsia" w:eastAsiaTheme="minorEastAsia"/>
                <w:color w:val="0000FF"/>
                <w:szCs w:val="21"/>
                <w:highlight w:val="none"/>
              </w:rPr>
            </w:pPr>
            <w:r>
              <w:rPr>
                <w:rFonts w:hint="eastAsia" w:asciiTheme="minorEastAsia" w:hAnsiTheme="minorEastAsia" w:eastAsiaTheme="minorEastAsia"/>
                <w:color w:val="0000FF"/>
                <w:szCs w:val="21"/>
                <w:highlight w:val="none"/>
                <w:lang w:val="en-US" w:eastAsia="zh-CN"/>
              </w:rPr>
              <w:t>2、</w:t>
            </w:r>
            <w:r>
              <w:rPr>
                <w:rFonts w:hint="eastAsia" w:asciiTheme="minorEastAsia" w:hAnsiTheme="minorEastAsia" w:eastAsiaTheme="minorEastAsia"/>
                <w:color w:val="0000FF"/>
                <w:szCs w:val="21"/>
                <w:highlight w:val="none"/>
              </w:rPr>
              <w:t>拟派技术负责人，对本项目工作进行技术指导及监督。从事过中职院校及以上院校</w:t>
            </w:r>
            <w:r>
              <w:rPr>
                <w:rFonts w:hint="eastAsia" w:asciiTheme="minorEastAsia" w:hAnsiTheme="minorEastAsia" w:eastAsiaTheme="minorEastAsia"/>
                <w:color w:val="0000FF"/>
                <w:szCs w:val="21"/>
                <w:highlight w:val="none"/>
                <w:lang w:eastAsia="zh-CN"/>
              </w:rPr>
              <w:t>宿舍管理经验满</w:t>
            </w:r>
            <w:r>
              <w:rPr>
                <w:rFonts w:hint="eastAsia" w:asciiTheme="minorEastAsia" w:hAnsiTheme="minorEastAsia" w:eastAsiaTheme="minorEastAsia"/>
                <w:color w:val="0000FF"/>
                <w:szCs w:val="21"/>
                <w:highlight w:val="none"/>
                <w:lang w:val="en-US" w:eastAsia="zh-CN"/>
              </w:rPr>
              <w:t>3年的</w:t>
            </w:r>
            <w:r>
              <w:rPr>
                <w:rFonts w:hint="eastAsia" w:asciiTheme="minorEastAsia" w:hAnsiTheme="minorEastAsia" w:eastAsiaTheme="minorEastAsia"/>
                <w:color w:val="0000FF"/>
                <w:szCs w:val="21"/>
                <w:highlight w:val="none"/>
              </w:rPr>
              <w:t>，得2分，从事过中职院校及以上院校宿舍管理经验满</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年</w:t>
            </w:r>
            <w:r>
              <w:rPr>
                <w:rFonts w:hint="eastAsia" w:asciiTheme="minorEastAsia" w:hAnsiTheme="minorEastAsia" w:eastAsiaTheme="minorEastAsia"/>
                <w:color w:val="0000FF"/>
                <w:szCs w:val="21"/>
                <w:highlight w:val="none"/>
                <w:lang w:eastAsia="zh-CN"/>
              </w:rPr>
              <w:t>及以上的</w:t>
            </w:r>
            <w:r>
              <w:rPr>
                <w:rFonts w:hint="eastAsia" w:asciiTheme="minorEastAsia" w:hAnsiTheme="minorEastAsia" w:eastAsiaTheme="minorEastAsia"/>
                <w:color w:val="0000FF"/>
                <w:szCs w:val="21"/>
                <w:highlight w:val="none"/>
              </w:rPr>
              <w:t>，得</w:t>
            </w:r>
            <w:r>
              <w:rPr>
                <w:rFonts w:hint="eastAsia" w:asciiTheme="minorEastAsia" w:hAnsiTheme="minorEastAsia" w:eastAsiaTheme="minorEastAsia"/>
                <w:color w:val="0000FF"/>
                <w:szCs w:val="21"/>
                <w:highlight w:val="none"/>
                <w:lang w:val="en-US" w:eastAsia="zh-CN"/>
              </w:rPr>
              <w:t>4</w:t>
            </w:r>
            <w:r>
              <w:rPr>
                <w:rFonts w:hint="eastAsia" w:asciiTheme="minorEastAsia" w:hAnsiTheme="minorEastAsia" w:eastAsiaTheme="minorEastAsia"/>
                <w:color w:val="0000FF"/>
                <w:szCs w:val="21"/>
                <w:highlight w:val="none"/>
              </w:rPr>
              <w:t>分</w:t>
            </w:r>
            <w:r>
              <w:rPr>
                <w:rFonts w:hint="eastAsia" w:asciiTheme="minorEastAsia" w:hAnsiTheme="minorEastAsia" w:eastAsiaTheme="minorEastAsia"/>
                <w:color w:val="0000FF"/>
                <w:szCs w:val="21"/>
                <w:highlight w:val="none"/>
                <w:lang w:eastAsia="zh-CN"/>
              </w:rPr>
              <w:t>，从事过中职院校及以上院校宿舍管理经验满</w:t>
            </w:r>
            <w:r>
              <w:rPr>
                <w:rFonts w:hint="eastAsia" w:asciiTheme="minorEastAsia" w:hAnsiTheme="minorEastAsia" w:eastAsiaTheme="minorEastAsia"/>
                <w:color w:val="0000FF"/>
                <w:szCs w:val="21"/>
                <w:highlight w:val="none"/>
                <w:lang w:val="en-US" w:eastAsia="zh-CN"/>
              </w:rPr>
              <w:t>7</w:t>
            </w:r>
            <w:r>
              <w:rPr>
                <w:rFonts w:hint="eastAsia" w:asciiTheme="minorEastAsia" w:hAnsiTheme="minorEastAsia" w:eastAsiaTheme="minorEastAsia"/>
                <w:color w:val="0000FF"/>
                <w:szCs w:val="21"/>
                <w:highlight w:val="none"/>
                <w:lang w:eastAsia="zh-CN"/>
              </w:rPr>
              <w:t>年及以上的，得</w:t>
            </w:r>
            <w:r>
              <w:rPr>
                <w:rFonts w:hint="eastAsia" w:asciiTheme="minorEastAsia" w:hAnsiTheme="minorEastAsia" w:eastAsiaTheme="minorEastAsia"/>
                <w:color w:val="0000FF"/>
                <w:szCs w:val="21"/>
                <w:highlight w:val="none"/>
                <w:lang w:val="en-US" w:eastAsia="zh-CN"/>
              </w:rPr>
              <w:t>7</w:t>
            </w:r>
            <w:r>
              <w:rPr>
                <w:rFonts w:hint="eastAsia" w:asciiTheme="minorEastAsia" w:hAnsiTheme="minorEastAsia" w:eastAsiaTheme="minorEastAsia"/>
                <w:color w:val="0000FF"/>
                <w:szCs w:val="21"/>
                <w:highlight w:val="none"/>
                <w:lang w:eastAsia="zh-CN"/>
              </w:rPr>
              <w:t>分，</w:t>
            </w:r>
            <w:r>
              <w:rPr>
                <w:rFonts w:hint="eastAsia" w:asciiTheme="minorEastAsia" w:hAnsiTheme="minorEastAsia" w:eastAsiaTheme="minorEastAsia"/>
                <w:color w:val="0000FF"/>
                <w:szCs w:val="21"/>
                <w:highlight w:val="none"/>
              </w:rPr>
              <w:t xml:space="preserve">没有不得分。 </w:t>
            </w:r>
          </w:p>
          <w:p w14:paraId="53D54AB5">
            <w:pPr>
              <w:spacing w:line="360" w:lineRule="auto"/>
              <w:jc w:val="left"/>
              <w:rPr>
                <w:rFonts w:hint="default" w:asciiTheme="minorEastAsia" w:hAnsiTheme="minorEastAsia" w:eastAsiaTheme="minorEastAsia"/>
                <w:color w:val="0000FF"/>
                <w:szCs w:val="21"/>
                <w:highlight w:val="none"/>
                <w:lang w:val="en-US" w:eastAsia="zh-CN"/>
              </w:rPr>
            </w:pPr>
            <w:r>
              <w:rPr>
                <w:rFonts w:hint="eastAsia" w:asciiTheme="minorEastAsia" w:hAnsiTheme="minorEastAsia" w:eastAsiaTheme="minorEastAsia"/>
                <w:color w:val="0000FF"/>
                <w:szCs w:val="21"/>
                <w:highlight w:val="none"/>
              </w:rPr>
              <w:t>（注：投标文件中须提供合同复印件或扫描件，复印件或扫描件应能辨识买卖双方公章、签订时间，并加盖投标人公章，并提供所服务过的业主单位证明加盖投标人公章，须体现项目技术负责人姓名等评分内容，否则不得分。）</w:t>
            </w:r>
          </w:p>
          <w:p w14:paraId="7E0A1287">
            <w:pPr>
              <w:spacing w:line="360" w:lineRule="auto"/>
              <w:jc w:val="left"/>
              <w:rPr>
                <w:rFonts w:asciiTheme="minorEastAsia" w:hAnsiTheme="minorEastAsia" w:eastAsiaTheme="minorEastAsia"/>
                <w:color w:val="0000FF"/>
                <w:szCs w:val="21"/>
                <w:highlight w:val="none"/>
              </w:rPr>
            </w:pPr>
            <w:r>
              <w:rPr>
                <w:rFonts w:hint="eastAsia" w:asciiTheme="minorEastAsia" w:hAnsiTheme="minorEastAsia" w:eastAsiaTheme="minorEastAsia"/>
                <w:color w:val="0000FF"/>
                <w:szCs w:val="21"/>
                <w:highlight w:val="none"/>
                <w:lang w:val="en-US" w:eastAsia="zh-CN"/>
              </w:rPr>
              <w:t>3</w:t>
            </w:r>
            <w:r>
              <w:rPr>
                <w:rFonts w:hint="eastAsia" w:asciiTheme="minorEastAsia" w:hAnsiTheme="minorEastAsia" w:eastAsiaTheme="minorEastAsia"/>
                <w:color w:val="0000FF"/>
                <w:szCs w:val="21"/>
                <w:highlight w:val="none"/>
              </w:rPr>
              <w:t>、拟为本项目配备的团队成员（除项目负责人</w:t>
            </w:r>
            <w:r>
              <w:rPr>
                <w:rFonts w:hint="eastAsia" w:asciiTheme="minorEastAsia" w:hAnsiTheme="minorEastAsia" w:eastAsiaTheme="minorEastAsia"/>
                <w:color w:val="0000FF"/>
                <w:szCs w:val="21"/>
                <w:highlight w:val="none"/>
                <w:lang w:eastAsia="zh-CN"/>
              </w:rPr>
              <w:t>、技术负责人</w:t>
            </w:r>
            <w:r>
              <w:rPr>
                <w:rFonts w:hint="eastAsia" w:asciiTheme="minorEastAsia" w:hAnsiTheme="minorEastAsia" w:eastAsiaTheme="minorEastAsia"/>
                <w:color w:val="0000FF"/>
                <w:szCs w:val="21"/>
                <w:highlight w:val="none"/>
              </w:rPr>
              <w:t>）</w:t>
            </w:r>
          </w:p>
          <w:p w14:paraId="4862D23A">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①</w:t>
            </w:r>
            <w:r>
              <w:rPr>
                <w:rFonts w:hint="eastAsia" w:asciiTheme="minorEastAsia" w:hAnsiTheme="minorEastAsia" w:eastAsiaTheme="minorEastAsia"/>
                <w:color w:val="0000FF"/>
                <w:szCs w:val="21"/>
                <w:highlight w:val="none"/>
              </w:rPr>
              <w:t>具有</w:t>
            </w:r>
            <w:r>
              <w:rPr>
                <w:rFonts w:hint="eastAsia" w:asciiTheme="minorEastAsia" w:hAnsiTheme="minorEastAsia" w:eastAsiaTheme="minorEastAsia"/>
                <w:color w:val="0000FF"/>
                <w:szCs w:val="21"/>
                <w:highlight w:val="none"/>
                <w:lang w:eastAsia="zh-CN"/>
              </w:rPr>
              <w:t>四有</w:t>
            </w:r>
            <w:r>
              <w:rPr>
                <w:rFonts w:hint="eastAsia" w:asciiTheme="minorEastAsia" w:hAnsiTheme="minorEastAsia" w:eastAsiaTheme="minorEastAsia"/>
                <w:color w:val="0000FF"/>
                <w:szCs w:val="21"/>
                <w:highlight w:val="none"/>
              </w:rPr>
              <w:t>优秀士兵证书，得2分，本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最高得2分；</w:t>
            </w:r>
          </w:p>
          <w:p w14:paraId="7AF712B4">
            <w:pPr>
              <w:spacing w:line="360" w:lineRule="auto"/>
              <w:jc w:val="left"/>
              <w:rPr>
                <w:rFonts w:hint="eastAsia"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②</w:t>
            </w:r>
            <w:r>
              <w:rPr>
                <w:rFonts w:hint="eastAsia" w:asciiTheme="minorEastAsia" w:hAnsiTheme="minorEastAsia" w:eastAsiaTheme="minorEastAsia"/>
                <w:color w:val="0000FF"/>
                <w:szCs w:val="21"/>
                <w:highlight w:val="none"/>
              </w:rPr>
              <w:t>具有三等功及以上证书的，得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w:t>
            </w:r>
          </w:p>
          <w:p w14:paraId="72AD8BB9">
            <w:pPr>
              <w:pStyle w:val="33"/>
              <w:ind w:left="0" w:leftChars="0" w:firstLine="0" w:firstLineChars="0"/>
              <w:rPr>
                <w:rFonts w:hint="eastAsia" w:cs="Times New Roman" w:asciiTheme="minorEastAsia" w:hAnsiTheme="minorEastAsia" w:eastAsiaTheme="minorEastAsia"/>
                <w:color w:val="0000FF"/>
                <w:kern w:val="2"/>
                <w:sz w:val="21"/>
                <w:szCs w:val="21"/>
                <w:highlight w:val="none"/>
                <w:lang w:val="en-US" w:eastAsia="zh-CN" w:bidi="ar-SA"/>
              </w:rPr>
            </w:pPr>
            <w:r>
              <w:rPr>
                <w:rFonts w:hint="default" w:cs="Times New Roman" w:asciiTheme="minorEastAsia" w:hAnsiTheme="minorEastAsia" w:eastAsiaTheme="minorEastAsia"/>
                <w:color w:val="0000FF"/>
                <w:kern w:val="2"/>
                <w:sz w:val="21"/>
                <w:szCs w:val="21"/>
                <w:highlight w:val="none"/>
                <w:lang w:val="en-US" w:eastAsia="zh-CN" w:bidi="ar-SA"/>
              </w:rPr>
              <w:t>③</w:t>
            </w:r>
            <w:r>
              <w:rPr>
                <w:rFonts w:hint="eastAsia" w:cs="Times New Roman" w:asciiTheme="minorEastAsia" w:hAnsiTheme="minorEastAsia" w:eastAsiaTheme="minorEastAsia"/>
                <w:color w:val="0000FF"/>
                <w:kern w:val="2"/>
                <w:sz w:val="21"/>
                <w:szCs w:val="21"/>
                <w:highlight w:val="none"/>
                <w:lang w:val="en-US" w:eastAsia="zh-CN" w:bidi="ar-SA"/>
              </w:rPr>
              <w:t>具有具有5年及以上兵龄的，得4分，本项</w:t>
            </w:r>
            <w:r>
              <w:rPr>
                <w:rFonts w:hint="eastAsia" w:cs="Times New Roman" w:asciiTheme="minorEastAsia" w:hAnsiTheme="minorEastAsia" w:eastAsiaTheme="minorEastAsia"/>
                <w:color w:val="0000FF"/>
                <w:kern w:val="2"/>
                <w:sz w:val="21"/>
                <w:szCs w:val="21"/>
                <w:highlight w:val="none"/>
                <w:lang w:val="en-US" w:eastAsia="zh-CN" w:bidi="ar-SA"/>
              </w:rPr>
              <w:t>最高得4分；</w:t>
            </w:r>
          </w:p>
          <w:p w14:paraId="3C924319">
            <w:pPr>
              <w:spacing w:line="360" w:lineRule="auto"/>
              <w:jc w:val="left"/>
              <w:rPr>
                <w:rFonts w:hint="eastAsia" w:eastAsiaTheme="minorEastAsia"/>
                <w:highlight w:val="none"/>
                <w:lang w:eastAsia="zh-CN"/>
              </w:rPr>
            </w:pPr>
            <w:r>
              <w:rPr>
                <w:rFonts w:hint="eastAsia" w:asciiTheme="minorEastAsia" w:hAnsiTheme="minorEastAsia" w:eastAsiaTheme="minorEastAsia"/>
                <w:color w:val="0000FF"/>
                <w:szCs w:val="21"/>
                <w:highlight w:val="none"/>
              </w:rPr>
              <w:t>（注：投标文件中须提供</w:t>
            </w:r>
            <w:r>
              <w:rPr>
                <w:rFonts w:hint="eastAsia" w:asciiTheme="minorEastAsia" w:hAnsiTheme="minorEastAsia" w:eastAsiaTheme="minorEastAsia"/>
                <w:color w:val="0000FF"/>
                <w:szCs w:val="21"/>
                <w:highlight w:val="none"/>
                <w:lang w:eastAsia="zh-CN"/>
              </w:rPr>
              <w:t>荣誉证书</w:t>
            </w:r>
            <w:r>
              <w:rPr>
                <w:rFonts w:hint="eastAsia" w:asciiTheme="minorEastAsia" w:hAnsiTheme="minorEastAsia" w:eastAsiaTheme="minorEastAsia"/>
                <w:color w:val="0000FF"/>
                <w:szCs w:val="21"/>
                <w:highlight w:val="none"/>
              </w:rPr>
              <w:t>复印件或扫描件，</w:t>
            </w:r>
            <w:r>
              <w:rPr>
                <w:rFonts w:hint="eastAsia" w:asciiTheme="minorEastAsia" w:hAnsiTheme="minorEastAsia" w:eastAsiaTheme="minorEastAsia"/>
                <w:color w:val="0000FF"/>
                <w:szCs w:val="21"/>
                <w:highlight w:val="none"/>
                <w:lang w:eastAsia="zh-CN"/>
              </w:rPr>
              <w:t>同一人同时符合三条要求的，仅得最高分</w:t>
            </w:r>
            <w:r>
              <w:rPr>
                <w:rFonts w:hint="eastAsia" w:asciiTheme="minorEastAsia" w:hAnsiTheme="minorEastAsia" w:eastAsiaTheme="minorEastAsia"/>
                <w:color w:val="0000FF"/>
                <w:szCs w:val="21"/>
                <w:highlight w:val="none"/>
                <w:lang w:val="en-US" w:eastAsia="zh-CN"/>
              </w:rPr>
              <w:t>5分</w:t>
            </w:r>
            <w:r>
              <w:rPr>
                <w:rFonts w:hint="eastAsia" w:asciiTheme="minorEastAsia" w:hAnsiTheme="minorEastAsia" w:eastAsiaTheme="minorEastAsia"/>
                <w:color w:val="0000FF"/>
                <w:szCs w:val="21"/>
                <w:highlight w:val="none"/>
              </w:rPr>
              <w:t>。）</w:t>
            </w:r>
          </w:p>
        </w:tc>
        <w:tc>
          <w:tcPr>
            <w:tcW w:w="658" w:type="pct"/>
            <w:tcBorders>
              <w:top w:val="single" w:color="auto" w:sz="4" w:space="0"/>
              <w:left w:val="single" w:color="auto" w:sz="4" w:space="0"/>
              <w:bottom w:val="single" w:color="auto" w:sz="4" w:space="0"/>
              <w:right w:val="single" w:color="auto" w:sz="4" w:space="0"/>
            </w:tcBorders>
            <w:vAlign w:val="center"/>
          </w:tcPr>
          <w:p w14:paraId="15B80CD1">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25</w:t>
            </w:r>
            <w:r>
              <w:rPr>
                <w:rFonts w:asciiTheme="minorEastAsia" w:hAnsiTheme="minorEastAsia" w:eastAsiaTheme="minorEastAsia"/>
                <w:b/>
                <w:bCs/>
                <w:szCs w:val="21"/>
                <w:highlight w:val="none"/>
              </w:rPr>
              <w:t>分</w:t>
            </w:r>
          </w:p>
        </w:tc>
      </w:tr>
      <w:tr w14:paraId="2FF0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EE903F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FB49CC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团队组织</w:t>
            </w:r>
          </w:p>
        </w:tc>
        <w:tc>
          <w:tcPr>
            <w:tcW w:w="2637" w:type="pct"/>
            <w:tcBorders>
              <w:top w:val="single" w:color="auto" w:sz="4" w:space="0"/>
              <w:left w:val="single" w:color="auto" w:sz="4" w:space="0"/>
              <w:bottom w:val="single" w:color="auto" w:sz="4" w:space="0"/>
              <w:right w:val="single" w:color="auto" w:sz="4" w:space="0"/>
            </w:tcBorders>
            <w:vAlign w:val="center"/>
          </w:tcPr>
          <w:p w14:paraId="10240F5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评委根据各有效投标文件中对团队人员分工设置及组织安排管理内容的合理性、科学性进行综合评分。</w:t>
            </w:r>
          </w:p>
          <w:p w14:paraId="42B9CC4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团队分工科学合理，人员职责明确，有详细的管理内容或实施步骤的，得</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340F4F6C">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团队分工满足基本要求，人员职责简单，有粗略的管理内容或实施步骤得</w:t>
            </w:r>
            <w:r>
              <w:rPr>
                <w:rFonts w:asciiTheme="minorEastAsia" w:hAnsiTheme="minorEastAsia" w:eastAsiaTheme="minorEastAsia"/>
                <w:szCs w:val="21"/>
                <w:highlight w:val="none"/>
              </w:rPr>
              <w:t>4</w:t>
            </w:r>
            <w:r>
              <w:rPr>
                <w:rFonts w:hint="eastAsia" w:asciiTheme="minorEastAsia" w:hAnsiTheme="minorEastAsia" w:eastAsiaTheme="minorEastAsia"/>
                <w:szCs w:val="21"/>
                <w:highlight w:val="none"/>
              </w:rPr>
              <w:t>分；</w:t>
            </w:r>
          </w:p>
          <w:p w14:paraId="015B344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团队人员分工简单，职责不明确，有简单的管理内容或实施步骤的，得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分；</w:t>
            </w:r>
          </w:p>
          <w:p w14:paraId="21A7B0B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6DD7642">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6A14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3D967F7D">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3C4977E">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项目</w:t>
            </w:r>
            <w:r>
              <w:rPr>
                <w:rFonts w:hint="eastAsia" w:asciiTheme="minorEastAsia" w:hAnsiTheme="minorEastAsia" w:eastAsiaTheme="minorEastAsia"/>
                <w:szCs w:val="21"/>
                <w:highlight w:val="none"/>
              </w:rPr>
              <w:t>技术</w:t>
            </w:r>
            <w:r>
              <w:rPr>
                <w:rFonts w:asciiTheme="minorEastAsia" w:hAnsiTheme="minorEastAsia" w:eastAsiaTheme="minorEastAsia"/>
                <w:szCs w:val="21"/>
                <w:highlight w:val="none"/>
              </w:rPr>
              <w:t>方案</w:t>
            </w:r>
          </w:p>
        </w:tc>
        <w:tc>
          <w:tcPr>
            <w:tcW w:w="2637" w:type="pct"/>
            <w:tcBorders>
              <w:top w:val="single" w:color="auto" w:sz="4" w:space="0"/>
              <w:left w:val="single" w:color="auto" w:sz="4" w:space="0"/>
              <w:bottom w:val="single" w:color="auto" w:sz="4" w:space="0"/>
              <w:right w:val="single" w:color="auto" w:sz="4" w:space="0"/>
            </w:tcBorders>
            <w:vAlign w:val="center"/>
          </w:tcPr>
          <w:p w14:paraId="4EBFAD5E">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结合学校实际情况，制定明确的准军事化管理方案，方案中能体现出管理思想、管理要求、准军事化学生管理目标和管理措施，各个年级的管理计划和训练计划等。本项目由评标委员会根据本项目特点、招标文件要求及投标人投标文件比较分析评定得分。 </w:t>
            </w:r>
          </w:p>
          <w:p w14:paraId="379635A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非常了解，方案能体现出管理思想、管理要求、准军事化学生管理目标和管理措施，各个年级的管理计划和训练计划周全、具体、有效，可行性、实用性、针对性与本项目实际需求适应度相契合，得 </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101433D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对准军事化管理项目情况基本了解，方案能体现出管理思想、管理要求、准军事化学生管理目标和管理措施，各个年级的管理计划和训练计划等各项措施内容基本清晰、完善，具有可行性、实用性和针对性的，得 4 分； </w:t>
            </w:r>
          </w:p>
          <w:p w14:paraId="5F3814DA">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不了解，方案体现的管理思想、管理要求、准军事化学生管理目标和管理措施，各个年级的管理计划和训练计划等有合理化建议，建议基本科学合理但缺项、不全面或关键点缺失或出现非专门针对本项目特性内容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 xml:space="preserve">分； </w:t>
            </w:r>
          </w:p>
          <w:p w14:paraId="7F52D35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未提供准军事化管理项目，或方案中不能体现出管理思想、管理要求、准军事化学生管理目标和管理措施，各个年级的管理计划和训练计划等不得分。</w:t>
            </w:r>
          </w:p>
        </w:tc>
        <w:tc>
          <w:tcPr>
            <w:tcW w:w="658" w:type="pct"/>
            <w:tcBorders>
              <w:top w:val="single" w:color="auto" w:sz="4" w:space="0"/>
              <w:left w:val="single" w:color="auto" w:sz="4" w:space="0"/>
              <w:bottom w:val="single" w:color="auto" w:sz="4" w:space="0"/>
              <w:right w:val="single" w:color="auto" w:sz="4" w:space="0"/>
            </w:tcBorders>
            <w:vAlign w:val="center"/>
          </w:tcPr>
          <w:p w14:paraId="1AA5A718">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52E6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075AED6A">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130711B8">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管理制度</w:t>
            </w:r>
          </w:p>
        </w:tc>
        <w:tc>
          <w:tcPr>
            <w:tcW w:w="2637" w:type="pct"/>
            <w:tcBorders>
              <w:top w:val="single" w:color="auto" w:sz="4" w:space="0"/>
              <w:left w:val="single" w:color="auto" w:sz="4" w:space="0"/>
              <w:bottom w:val="single" w:color="auto" w:sz="4" w:space="0"/>
              <w:right w:val="single" w:color="auto" w:sz="4" w:space="0"/>
            </w:tcBorders>
            <w:vAlign w:val="center"/>
          </w:tcPr>
          <w:p w14:paraId="30EA729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根据各有效投标文件中提供的管理制度进行综合评分。根据管理制度是否内容齐全、职责划分是否明确、工作规范是否可行、监管措施是否得力、工作流程是否清晰科学、培训方案是否专业有效、奖惩措施是否合理可行等，进行综合评分。</w:t>
            </w:r>
          </w:p>
          <w:p w14:paraId="273FA14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管理制度内容齐全、职责划分明确、工作规范、监管措施得力、工作流程清晰科学、培训方案专业有效、奖惩措施分明的，得 </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 xml:space="preserve"> 分；</w:t>
            </w:r>
          </w:p>
          <w:p w14:paraId="2824C15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管理制度内容、职责划分、工作规范、监管措施、工作流程、培训方案、奖惩措施制基本满足的，得 4 分；</w:t>
            </w:r>
          </w:p>
          <w:p w14:paraId="46122B6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管理制度内容、职责划分、工作规范、监管措施、工作流程、培训方案、奖惩措施制不明确的，得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 xml:space="preserve"> 分；</w:t>
            </w:r>
          </w:p>
          <w:p w14:paraId="6635EA0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080ABF7">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732A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1155AFB0">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4D8FC3C9">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服务方案</w:t>
            </w:r>
          </w:p>
        </w:tc>
        <w:tc>
          <w:tcPr>
            <w:tcW w:w="2637" w:type="pct"/>
            <w:tcBorders>
              <w:top w:val="single" w:color="auto" w:sz="4" w:space="0"/>
              <w:left w:val="single" w:color="auto" w:sz="4" w:space="0"/>
              <w:bottom w:val="single" w:color="auto" w:sz="4" w:space="0"/>
              <w:right w:val="single" w:color="auto" w:sz="4" w:space="0"/>
            </w:tcBorders>
            <w:vAlign w:val="center"/>
          </w:tcPr>
          <w:p w14:paraId="1CBB867A">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结合学校实际情况，有明确的服务方案，包括但不限于宿舍管理、校</w:t>
            </w:r>
            <w:r>
              <w:rPr>
                <w:rFonts w:hint="eastAsia" w:asciiTheme="minorEastAsia" w:hAnsiTheme="minorEastAsia" w:eastAsiaTheme="minorEastAsia"/>
                <w:szCs w:val="21"/>
                <w:highlight w:val="none"/>
              </w:rPr>
              <w:t xml:space="preserve">园内大型活动后勤服务方案、新生入学教育服务方案、开学典礼服务方案、运动会服务方案、文艺汇演服务方案、考试考证服务方案、承办大型会议或培训服务方案等。 </w:t>
            </w:r>
          </w:p>
          <w:p w14:paraId="096F613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评委对服务方案的全面性、合理性、可行性等进行综合评比。</w:t>
            </w:r>
          </w:p>
          <w:p w14:paraId="745CC7C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（1）服务方案的内容完整、详尽，科学合理，具有高度的可行性，完全满足项目需求的，得</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4253ABE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（2）服务方案的内容基本清晰、完善，具有可行性、基本满足项目需求的，得4分；</w:t>
            </w:r>
          </w:p>
          <w:p w14:paraId="74F26B6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（3）服务方案的内容简略、不全面或关键点缺失或出现非专门针对本项目特性内容的，得</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分；</w:t>
            </w:r>
          </w:p>
          <w:p w14:paraId="1ABCA7F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5E1D49BC">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3E6C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49DFDC3">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51C9EFAA">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安全管理与应急处</w:t>
            </w:r>
            <w:r>
              <w:rPr>
                <w:rFonts w:hint="eastAsia" w:asciiTheme="minorEastAsia" w:hAnsiTheme="minorEastAsia" w:eastAsiaTheme="minorEastAsia"/>
                <w:szCs w:val="21"/>
                <w:highlight w:val="none"/>
              </w:rPr>
              <w:t>理预案</w:t>
            </w:r>
          </w:p>
        </w:tc>
        <w:tc>
          <w:tcPr>
            <w:tcW w:w="2637" w:type="pct"/>
            <w:tcBorders>
              <w:top w:val="single" w:color="auto" w:sz="4" w:space="0"/>
              <w:left w:val="single" w:color="auto" w:sz="4" w:space="0"/>
              <w:bottom w:val="single" w:color="auto" w:sz="4" w:space="0"/>
              <w:right w:val="single" w:color="auto" w:sz="4" w:space="0"/>
            </w:tcBorders>
            <w:vAlign w:val="center"/>
          </w:tcPr>
          <w:p w14:paraId="17D0C409">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投标人对紧急、突发事件须有应急措施和应急预案，可提供相关案例。</w:t>
            </w:r>
            <w:r>
              <w:rPr>
                <w:rFonts w:hint="eastAsia" w:asciiTheme="minorEastAsia" w:hAnsiTheme="minorEastAsia" w:eastAsiaTheme="minorEastAsia"/>
                <w:szCs w:val="21"/>
                <w:highlight w:val="none"/>
              </w:rPr>
              <w:t xml:space="preserve">评标委员会根据各投标人制定的突击任务和突发问题的响应时间及处理方案(包括但不限于法定节假日、视察评比、恶劣天气等的应对措施和应急预案)进行综合评比。 </w:t>
            </w:r>
          </w:p>
          <w:p w14:paraId="38C9956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（1）方案及处置措施详细完善、针对性强、科学合理、可实施性高，得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 分； </w:t>
            </w:r>
          </w:p>
          <w:p w14:paraId="04A456F5">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（2）方案及处置措施完善、符合项目实施要求的得 4 分； </w:t>
            </w:r>
          </w:p>
          <w:p w14:paraId="6CF7FE4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（3）方案及处置措施缺项或关键点缺失或出现非专门针对本项目特性内容的得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09FCBC6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6444FFA6">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7050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72F0BB0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D94C12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现状分析及建议</w:t>
            </w:r>
          </w:p>
        </w:tc>
        <w:tc>
          <w:tcPr>
            <w:tcW w:w="2637" w:type="pct"/>
            <w:tcBorders>
              <w:top w:val="single" w:color="auto" w:sz="4" w:space="0"/>
              <w:left w:val="single" w:color="auto" w:sz="4" w:space="0"/>
              <w:bottom w:val="single" w:color="auto" w:sz="4" w:space="0"/>
              <w:right w:val="single" w:color="auto" w:sz="4" w:space="0"/>
            </w:tcBorders>
            <w:vAlign w:val="center"/>
          </w:tcPr>
          <w:p w14:paraId="54664813">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结合学校实际情况，投标人可以对学校学生管理现状存在的主要问题</w:t>
            </w:r>
            <w:r>
              <w:rPr>
                <w:rFonts w:hint="eastAsia" w:asciiTheme="minorEastAsia" w:hAnsiTheme="minorEastAsia" w:eastAsiaTheme="minorEastAsia"/>
                <w:szCs w:val="21"/>
                <w:highlight w:val="none"/>
              </w:rPr>
              <w:t>进行分析，并能对本项目提出建议。评标委员会对投标人的问题分析是否全面、清晰、准确；提出的建议是否合理、新颖进行综合评比。</w:t>
            </w:r>
          </w:p>
          <w:p w14:paraId="0DC8E93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（1）提供的分析全面、清晰、准确，提出的建议合理、新颖的，得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分；</w:t>
            </w:r>
          </w:p>
          <w:p w14:paraId="6AD09A8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（2）提供的分析比较全面、准确，提出的建议较合理的，得4分；</w:t>
            </w:r>
          </w:p>
          <w:p w14:paraId="7196B73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（3）提供的分析有待进一步完善的，得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74E8C2A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4AE69D78">
            <w:pPr>
              <w:spacing w:line="360" w:lineRule="auto"/>
              <w:jc w:val="center"/>
              <w:rPr>
                <w:rFonts w:hint="eastAsia" w:asciiTheme="minorEastAsia" w:hAnsiTheme="minorEastAsia" w:eastAsiaTheme="minorEastAsia"/>
                <w:b/>
                <w:bCs/>
                <w:szCs w:val="21"/>
                <w:highlight w:val="none"/>
                <w:lang w:eastAsia="zh-CN"/>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3F1D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E7F2429">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75CC3FCA">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进退场方案</w:t>
            </w:r>
          </w:p>
        </w:tc>
        <w:tc>
          <w:tcPr>
            <w:tcW w:w="2637" w:type="pct"/>
            <w:tcBorders>
              <w:top w:val="single" w:color="auto" w:sz="4" w:space="0"/>
              <w:left w:val="single" w:color="auto" w:sz="4" w:space="0"/>
              <w:bottom w:val="single" w:color="auto" w:sz="4" w:space="0"/>
              <w:right w:val="single" w:color="auto" w:sz="4" w:space="0"/>
            </w:tcBorders>
            <w:vAlign w:val="center"/>
          </w:tcPr>
          <w:p w14:paraId="02218DC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主要包括进退场准备工作、时间及步骤、工作交接等具体实施措施，评标委员会对进退场方案进行综合评比。</w:t>
            </w:r>
          </w:p>
          <w:p w14:paraId="17AB1FE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（1）内容表述清晰、对相关情况了解全面、完整的得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44D5FD7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（2）内容表述较清晰、对相关情况了解较全面、完整的得4分； </w:t>
            </w:r>
          </w:p>
          <w:p w14:paraId="1A0CD7E1">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（3）内容表述的清晰度、对相关情况了解有待提升的得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3ADA27AB">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57523CA0">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2070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326BABE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D3EE8F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保密与档案管理方案</w:t>
            </w:r>
          </w:p>
        </w:tc>
        <w:tc>
          <w:tcPr>
            <w:tcW w:w="2637" w:type="pct"/>
            <w:tcBorders>
              <w:top w:val="single" w:color="auto" w:sz="4" w:space="0"/>
              <w:left w:val="single" w:color="auto" w:sz="4" w:space="0"/>
              <w:bottom w:val="single" w:color="auto" w:sz="4" w:space="0"/>
              <w:right w:val="single" w:color="auto" w:sz="4" w:space="0"/>
            </w:tcBorders>
            <w:vAlign w:val="center"/>
          </w:tcPr>
          <w:p w14:paraId="5084471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包括建立、妥善保管和正确使用相关管理档案，并负责及时记载有关变更情况，日常档案管理等。 </w:t>
            </w:r>
          </w:p>
          <w:p w14:paraId="3008AA3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评标委员会综合评比打分。</w:t>
            </w:r>
          </w:p>
          <w:p w14:paraId="2FECAB83">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（1）方案覆盖全面、要点突出、针对性强，内容完整详实，表述清晰， 本项目实际需求适应度相契合，利于项目实施的得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43A5D09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（2）方案覆盖全面、内容完整详实，表述清晰，符合项目实施要求的得4分； </w:t>
            </w:r>
          </w:p>
          <w:p w14:paraId="70DB39F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（3）方案缺项或关键点缺失或出现非专门针对本项目特性内容的得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3971A1F5">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3B52B0C9">
            <w:pPr>
              <w:spacing w:line="360" w:lineRule="auto"/>
              <w:jc w:val="center"/>
              <w:rPr>
                <w:rFonts w:hint="default" w:asciiTheme="minorEastAsia" w:hAnsiTheme="minorEastAsia" w:eastAsiaTheme="minorEastAsia"/>
                <w:b/>
                <w:bCs/>
                <w:szCs w:val="21"/>
                <w:highlight w:val="none"/>
                <w:lang w:val="en-US" w:eastAsia="zh-CN"/>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6AF6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5E35F14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3AECBD86">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项目应急处置方案</w:t>
            </w:r>
          </w:p>
          <w:p w14:paraId="74975B16">
            <w:pPr>
              <w:spacing w:line="360" w:lineRule="auto"/>
              <w:jc w:val="center"/>
              <w:rPr>
                <w:rFonts w:asciiTheme="minorEastAsia" w:hAnsiTheme="minorEastAsia" w:eastAsiaTheme="minorEastAsia"/>
                <w:szCs w:val="21"/>
                <w:highlight w:val="none"/>
              </w:rPr>
            </w:pPr>
          </w:p>
        </w:tc>
        <w:tc>
          <w:tcPr>
            <w:tcW w:w="2637" w:type="pct"/>
            <w:tcBorders>
              <w:top w:val="single" w:color="auto" w:sz="4" w:space="0"/>
              <w:left w:val="single" w:color="auto" w:sz="4" w:space="0"/>
              <w:bottom w:val="single" w:color="auto" w:sz="4" w:space="0"/>
              <w:right w:val="single" w:color="auto" w:sz="4" w:space="0"/>
            </w:tcBorders>
            <w:vAlign w:val="center"/>
          </w:tcPr>
          <w:p w14:paraId="11292543">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投标人为有助于提高准军事化管理水平，在实施管理过程中，能提供</w:t>
            </w:r>
            <w:r>
              <w:rPr>
                <w:rFonts w:hint="eastAsia" w:asciiTheme="minorEastAsia" w:hAnsiTheme="minorEastAsia" w:eastAsiaTheme="minorEastAsia"/>
                <w:szCs w:val="21"/>
                <w:highlight w:val="none"/>
              </w:rPr>
              <w:t xml:space="preserve">特色服务等情况。 </w:t>
            </w:r>
          </w:p>
          <w:p w14:paraId="1E7A61E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评标委员会对投标人提供的特色服务进行综合评比打分。</w:t>
            </w:r>
          </w:p>
          <w:p w14:paraId="7CCA577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（1）实施方案完善、合理，可操作性强，有完整的贴合方案性强的配套，得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5361B9BB">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（2）实施方案完善、合理，有可操作性，配套齐全，得4分； </w:t>
            </w:r>
          </w:p>
          <w:p w14:paraId="7227F34C">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（3）实施方案缺项或关键点缺失或出现非专门针对本项目特性内容的得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2EB576A3">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44B6C706">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0B36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70B978B7">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5460232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售后及服务承诺</w:t>
            </w:r>
          </w:p>
        </w:tc>
        <w:tc>
          <w:tcPr>
            <w:tcW w:w="2637" w:type="pct"/>
            <w:tcBorders>
              <w:top w:val="single" w:color="auto" w:sz="4" w:space="0"/>
              <w:left w:val="single" w:color="auto" w:sz="4" w:space="0"/>
              <w:bottom w:val="single" w:color="auto" w:sz="4" w:space="0"/>
              <w:right w:val="single" w:color="auto" w:sz="4" w:space="0"/>
            </w:tcBorders>
            <w:vAlign w:val="center"/>
          </w:tcPr>
          <w:p w14:paraId="51AE8C6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（1）内容完善、周密详尽，保障方案具体、切实、可行，针对性强，优于项目要求的得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分；</w:t>
            </w:r>
          </w:p>
          <w:p w14:paraId="0466ACF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（2）内容基本完善、周密，保障方案具体、切实、可行，有针对性，满足项目要求的得4分；</w:t>
            </w:r>
          </w:p>
          <w:p w14:paraId="3131427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（3）内容基本完善、周密度不足，实施方案有待完善，针对性有待提升，基本满足项目要求的得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6DBD1F8E">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BC21FBE">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1DBF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tcBorders>
              <w:left w:val="single" w:color="auto" w:sz="4" w:space="0"/>
              <w:right w:val="single" w:color="auto" w:sz="4" w:space="0"/>
            </w:tcBorders>
            <w:vAlign w:val="center"/>
          </w:tcPr>
          <w:p w14:paraId="7AE42B0C">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价格分</w:t>
            </w:r>
          </w:p>
          <w:p w14:paraId="6478B7D1">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分）</w:t>
            </w:r>
          </w:p>
        </w:tc>
        <w:tc>
          <w:tcPr>
            <w:tcW w:w="4260" w:type="pct"/>
            <w:gridSpan w:val="3"/>
            <w:tcBorders>
              <w:top w:val="single" w:color="auto" w:sz="4" w:space="0"/>
              <w:left w:val="single" w:color="auto" w:sz="4" w:space="0"/>
              <w:bottom w:val="single" w:color="auto" w:sz="4" w:space="0"/>
              <w:right w:val="single" w:color="auto" w:sz="4" w:space="0"/>
            </w:tcBorders>
            <w:vAlign w:val="center"/>
          </w:tcPr>
          <w:p w14:paraId="2DBF9B29">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分。其他供应商的价格分统一按照下列公式计算：</w:t>
            </w:r>
          </w:p>
          <w:p w14:paraId="2EE1B287">
            <w:pPr>
              <w:spacing w:line="360" w:lineRule="auto"/>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磋商报价得分＝（磋商基准价/</w:t>
            </w:r>
            <w:r>
              <w:rPr>
                <w:rFonts w:hint="eastAsia" w:ascii="宋体" w:hAnsi="宋体" w:eastAsia="宋体"/>
                <w:szCs w:val="21"/>
                <w:highlight w:val="none"/>
              </w:rPr>
              <w:t>最后磋商</w:t>
            </w:r>
            <w:r>
              <w:rPr>
                <w:rFonts w:hint="eastAsia" w:asciiTheme="minorEastAsia" w:hAnsiTheme="minorEastAsia" w:eastAsiaTheme="minorEastAsia"/>
                <w:szCs w:val="21"/>
                <w:highlight w:val="none"/>
              </w:rPr>
              <w:t>报价）×</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％×100</w:t>
            </w:r>
          </w:p>
        </w:tc>
      </w:tr>
    </w:tbl>
    <w:p w14:paraId="3753443E">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spacing w:line="480" w:lineRule="exact"/>
        <w:ind w:right="-11" w:firstLine="495"/>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spacing w:line="480" w:lineRule="exact"/>
        <w:ind w:right="-11"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spacing w:line="480" w:lineRule="exact"/>
        <w:ind w:firstLine="480" w:firstLineChars="200"/>
        <w:jc w:val="left"/>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bookmarkStart w:id="86" w:name="_Toc31228"/>
      <w:r>
        <w:rPr>
          <w:rFonts w:hint="eastAsia" w:ascii="宋体" w:hAnsi="宋体" w:cs="宋体"/>
          <w:sz w:val="24"/>
          <w:szCs w:val="24"/>
          <w:highlight w:val="none"/>
        </w:rPr>
        <w:t xml:space="preserve"> </w:t>
      </w:r>
      <w:bookmarkEnd w:id="86"/>
    </w:p>
    <w:p w14:paraId="749F6E12">
      <w:pPr>
        <w:pStyle w:val="3"/>
        <w:spacing w:before="156" w:beforeLines="50" w:after="156" w:afterLines="50" w:line="560" w:lineRule="exact"/>
        <w:jc w:val="center"/>
        <w:rPr>
          <w:rFonts w:ascii="宋体" w:hAnsi="宋体" w:eastAsia="宋体" w:cs="宋体"/>
          <w:sz w:val="28"/>
          <w:szCs w:val="28"/>
          <w:highlight w:val="none"/>
        </w:rPr>
      </w:pPr>
      <w:bookmarkStart w:id="87" w:name="_Toc14458"/>
      <w:bookmarkStart w:id="88" w:name="_Toc5553"/>
      <w:r>
        <w:rPr>
          <w:rFonts w:hint="eastAsia" w:ascii="宋体" w:hAnsi="宋体" w:eastAsia="宋体" w:cs="宋体"/>
          <w:sz w:val="28"/>
          <w:szCs w:val="28"/>
          <w:highlight w:val="none"/>
        </w:rPr>
        <w:br w:type="page"/>
      </w:r>
      <w:bookmarkStart w:id="89" w:name="_Toc8088"/>
      <w:r>
        <w:rPr>
          <w:rFonts w:hint="eastAsia" w:ascii="宋体" w:hAnsi="宋体" w:eastAsia="宋体" w:cs="宋体"/>
          <w:sz w:val="28"/>
          <w:szCs w:val="28"/>
          <w:highlight w:val="none"/>
        </w:rPr>
        <w:t>五、响应文件格式</w:t>
      </w:r>
      <w:bookmarkEnd w:id="87"/>
      <w:bookmarkEnd w:id="88"/>
      <w:bookmarkEnd w:id="89"/>
    </w:p>
    <w:p w14:paraId="6F0BF7C8">
      <w:pPr>
        <w:spacing w:line="500" w:lineRule="exact"/>
        <w:jc w:val="center"/>
        <w:rPr>
          <w:rFonts w:ascii="宋体" w:hAnsi="宋体" w:cs="宋体"/>
          <w:b/>
          <w:sz w:val="32"/>
          <w:highlight w:val="none"/>
        </w:rPr>
      </w:pPr>
    </w:p>
    <w:p w14:paraId="03107CCB">
      <w:pPr>
        <w:spacing w:line="500" w:lineRule="exact"/>
        <w:jc w:val="center"/>
        <w:outlineLvl w:val="0"/>
        <w:rPr>
          <w:rFonts w:ascii="宋体" w:hAnsi="宋体" w:cs="宋体"/>
          <w:b/>
          <w:sz w:val="32"/>
          <w:highlight w:val="none"/>
        </w:rPr>
      </w:pPr>
      <w:r>
        <w:rPr>
          <w:rFonts w:hint="eastAsia" w:ascii="宋体" w:hAnsi="宋体" w:cs="宋体"/>
          <w:b/>
          <w:sz w:val="32"/>
          <w:highlight w:val="none"/>
          <w:u w:val="single"/>
        </w:rPr>
        <w:t>　　　　　　　　　</w:t>
      </w:r>
      <w:bookmarkStart w:id="90" w:name="_Toc4448"/>
      <w:bookmarkStart w:id="91" w:name="_Toc22685"/>
      <w:r>
        <w:rPr>
          <w:rFonts w:hint="eastAsia" w:ascii="宋体" w:hAnsi="宋体" w:cs="宋体"/>
          <w:b/>
          <w:sz w:val="32"/>
          <w:highlight w:val="none"/>
        </w:rPr>
        <w:t>项目</w:t>
      </w:r>
      <w:bookmarkEnd w:id="90"/>
      <w:bookmarkEnd w:id="91"/>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r>
        <w:rPr>
          <w:rFonts w:hint="eastAsia" w:ascii="宋体" w:hAnsi="宋体" w:cs="宋体"/>
          <w:b/>
          <w:sz w:val="30"/>
          <w:szCs w:val="30"/>
          <w:highlight w:val="none"/>
        </w:rPr>
        <w:t>第</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包</w:t>
      </w:r>
    </w:p>
    <w:p w14:paraId="5ED124E9">
      <w:pPr>
        <w:spacing w:after="156" w:afterLines="50" w:line="500" w:lineRule="exact"/>
        <w:jc w:val="center"/>
        <w:rPr>
          <w:rFonts w:ascii="宋体" w:hAnsi="宋体" w:cs="宋体"/>
          <w:b/>
          <w:sz w:val="72"/>
          <w:highlight w:val="none"/>
        </w:rPr>
      </w:pP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0"/>
        <w:rPr>
          <w:rFonts w:ascii="宋体" w:hAnsi="宋体" w:cs="宋体"/>
          <w:sz w:val="24"/>
          <w:szCs w:val="28"/>
          <w:highlight w:val="none"/>
        </w:rPr>
      </w:pPr>
      <w:bookmarkStart w:id="92" w:name="_Toc5792"/>
      <w:bookmarkStart w:id="93" w:name="_Toc4670"/>
      <w:r>
        <w:rPr>
          <w:rFonts w:hint="eastAsia" w:ascii="宋体" w:hAnsi="宋体" w:cs="宋体"/>
          <w:b/>
          <w:sz w:val="32"/>
          <w:highlight w:val="none"/>
        </w:rPr>
        <w:t>年  月  日</w:t>
      </w:r>
      <w:bookmarkEnd w:id="92"/>
      <w:bookmarkEnd w:id="93"/>
    </w:p>
    <w:p w14:paraId="763B8393">
      <w:pPr>
        <w:pStyle w:val="3"/>
        <w:spacing w:before="156" w:beforeLines="50" w:after="156" w:afterLines="50" w:line="560" w:lineRule="exact"/>
        <w:jc w:val="center"/>
        <w:rPr>
          <w:rFonts w:ascii="宋体" w:hAnsi="宋体" w:eastAsia="宋体" w:cs="宋体"/>
          <w:sz w:val="24"/>
          <w:szCs w:val="24"/>
          <w:highlight w:val="none"/>
        </w:rPr>
      </w:pPr>
      <w:bookmarkStart w:id="94" w:name="_Toc20663"/>
      <w:r>
        <w:rPr>
          <w:rFonts w:hint="eastAsia" w:ascii="宋体" w:hAnsi="宋体" w:eastAsia="宋体" w:cs="宋体"/>
          <w:sz w:val="24"/>
          <w:szCs w:val="24"/>
          <w:highlight w:val="none"/>
        </w:rPr>
        <w:br w:type="page"/>
      </w:r>
      <w:bookmarkStart w:id="95" w:name="_Toc2602"/>
      <w:r>
        <w:rPr>
          <w:rFonts w:hint="eastAsia" w:ascii="宋体" w:hAnsi="宋体" w:eastAsia="宋体" w:cs="宋体"/>
          <w:sz w:val="24"/>
          <w:szCs w:val="24"/>
          <w:highlight w:val="none"/>
        </w:rPr>
        <w:t>响应文件资料清单</w:t>
      </w:r>
      <w:bookmarkEnd w:id="94"/>
      <w:bookmarkEnd w:id="95"/>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96" w:name="_Toc6106"/>
            <w:bookmarkStart w:id="97" w:name="_Toc16318"/>
            <w:bookmarkStart w:id="98" w:name="_Toc19445"/>
            <w:r>
              <w:rPr>
                <w:rStyle w:val="95"/>
                <w:rFonts w:hint="eastAsia" w:ascii="宋体" w:hAnsi="宋体" w:eastAsia="宋体" w:cs="宋体"/>
                <w:b w:val="0"/>
                <w:sz w:val="24"/>
                <w:szCs w:val="24"/>
                <w:highlight w:val="none"/>
              </w:rPr>
              <w:t>中小企业声明函、</w:t>
            </w:r>
            <w:bookmarkEnd w:id="96"/>
            <w:bookmarkEnd w:id="97"/>
            <w:bookmarkEnd w:id="98"/>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99" w:name="_Toc21309"/>
      <w:bookmarkStart w:id="100" w:name="_Toc8158"/>
      <w:bookmarkStart w:id="101" w:name="_Toc10603"/>
      <w:r>
        <w:rPr>
          <w:rFonts w:hint="eastAsia" w:ascii="宋体" w:hAnsi="宋体" w:eastAsia="宋体" w:cs="宋体"/>
          <w:sz w:val="24"/>
          <w:szCs w:val="24"/>
          <w:highlight w:val="none"/>
        </w:rPr>
        <w:t>附件一</w:t>
      </w:r>
      <w:bookmarkEnd w:id="99"/>
      <w:bookmarkEnd w:id="100"/>
      <w:bookmarkEnd w:id="101"/>
    </w:p>
    <w:p w14:paraId="4ECA6CD3">
      <w:pPr>
        <w:pStyle w:val="3"/>
        <w:spacing w:before="0" w:after="0" w:line="560" w:lineRule="exact"/>
        <w:jc w:val="center"/>
        <w:rPr>
          <w:rFonts w:ascii="宋体" w:hAnsi="宋体" w:eastAsia="宋体" w:cs="宋体"/>
          <w:sz w:val="24"/>
          <w:szCs w:val="24"/>
          <w:highlight w:val="none"/>
        </w:rPr>
      </w:pPr>
      <w:bookmarkStart w:id="102" w:name="_Toc5601"/>
      <w:bookmarkStart w:id="103" w:name="_Toc10816"/>
      <w:bookmarkStart w:id="104" w:name="_Toc9181"/>
      <w:r>
        <w:rPr>
          <w:rFonts w:hint="eastAsia" w:ascii="宋体" w:hAnsi="宋体" w:eastAsia="宋体" w:cs="宋体"/>
          <w:sz w:val="24"/>
          <w:szCs w:val="24"/>
          <w:highlight w:val="none"/>
        </w:rPr>
        <w:t>报价单</w:t>
      </w:r>
      <w:bookmarkEnd w:id="102"/>
      <w:bookmarkEnd w:id="103"/>
      <w:bookmarkEnd w:id="104"/>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05" w:name="_Toc16998"/>
      <w:bookmarkStart w:id="106" w:name="_Toc2007"/>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39119AC">
      <w:pPr>
        <w:pStyle w:val="3"/>
        <w:wordWrap w:val="0"/>
        <w:spacing w:before="0" w:after="0" w:line="520" w:lineRule="exact"/>
        <w:rPr>
          <w:rFonts w:ascii="宋体" w:hAnsi="宋体" w:eastAsia="宋体" w:cs="宋体"/>
          <w:sz w:val="24"/>
          <w:szCs w:val="24"/>
          <w:highlight w:val="none"/>
        </w:rPr>
      </w:pPr>
    </w:p>
    <w:p w14:paraId="4C97CC48">
      <w:pPr>
        <w:pStyle w:val="3"/>
        <w:wordWrap w:val="0"/>
        <w:spacing w:before="0" w:after="0" w:line="520" w:lineRule="exact"/>
        <w:rPr>
          <w:rFonts w:ascii="宋体" w:hAnsi="宋体" w:eastAsia="宋体" w:cs="宋体"/>
          <w:sz w:val="24"/>
          <w:szCs w:val="24"/>
          <w:highlight w:val="none"/>
        </w:rPr>
      </w:pPr>
    </w:p>
    <w:p w14:paraId="180CF7CA">
      <w:pPr>
        <w:pStyle w:val="3"/>
        <w:wordWrap w:val="0"/>
        <w:spacing w:before="0" w:after="0" w:line="520" w:lineRule="exact"/>
        <w:rPr>
          <w:rFonts w:ascii="宋体" w:hAnsi="宋体" w:eastAsia="宋体" w:cs="宋体"/>
          <w:sz w:val="24"/>
          <w:szCs w:val="24"/>
          <w:highlight w:val="none"/>
        </w:rPr>
      </w:pPr>
    </w:p>
    <w:p w14:paraId="1790FA5D">
      <w:pPr>
        <w:pStyle w:val="3"/>
        <w:wordWrap w:val="0"/>
        <w:spacing w:before="0" w:after="0" w:line="52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7" w:name="_Toc22855"/>
      <w:r>
        <w:rPr>
          <w:rFonts w:hint="eastAsia" w:ascii="宋体" w:hAnsi="宋体" w:eastAsia="宋体" w:cs="宋体"/>
          <w:sz w:val="24"/>
          <w:szCs w:val="24"/>
          <w:highlight w:val="none"/>
        </w:rPr>
        <w:t>附件二</w:t>
      </w:r>
      <w:bookmarkEnd w:id="105"/>
      <w:bookmarkEnd w:id="106"/>
      <w:bookmarkEnd w:id="107"/>
    </w:p>
    <w:p w14:paraId="198DFB7F">
      <w:pPr>
        <w:pStyle w:val="3"/>
        <w:spacing w:before="0" w:after="0" w:line="520" w:lineRule="exact"/>
        <w:jc w:val="center"/>
        <w:rPr>
          <w:rFonts w:ascii="宋体" w:hAnsi="宋体" w:eastAsia="宋体" w:cs="宋体"/>
          <w:sz w:val="24"/>
          <w:szCs w:val="24"/>
          <w:highlight w:val="none"/>
        </w:rPr>
      </w:pPr>
      <w:bookmarkStart w:id="108" w:name="_Toc3262"/>
      <w:bookmarkStart w:id="109" w:name="_Toc17280"/>
      <w:bookmarkStart w:id="110" w:name="_Toc29464"/>
      <w:r>
        <w:rPr>
          <w:rFonts w:hint="eastAsia" w:ascii="宋体" w:hAnsi="宋体" w:eastAsia="宋体" w:cs="宋体"/>
          <w:sz w:val="24"/>
          <w:szCs w:val="24"/>
          <w:highlight w:val="none"/>
        </w:rPr>
        <w:t>供应商基本信息</w:t>
      </w:r>
      <w:bookmarkEnd w:id="108"/>
      <w:bookmarkEnd w:id="109"/>
      <w:bookmarkEnd w:id="110"/>
    </w:p>
    <w:p w14:paraId="761613D5">
      <w:pPr>
        <w:pStyle w:val="32"/>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pStyle w:val="3"/>
        <w:wordWrap w:val="0"/>
        <w:spacing w:before="0" w:after="0" w:line="520" w:lineRule="exact"/>
        <w:rPr>
          <w:rFonts w:ascii="宋体" w:hAnsi="宋体" w:eastAsia="宋体" w:cs="宋体"/>
          <w:sz w:val="24"/>
          <w:szCs w:val="24"/>
          <w:highlight w:val="none"/>
        </w:rPr>
      </w:pPr>
      <w:bookmarkStart w:id="111" w:name="_Toc18369"/>
      <w:bookmarkStart w:id="112" w:name="_Toc10154"/>
      <w:bookmarkStart w:id="113" w:name="_Toc11062"/>
      <w:r>
        <w:rPr>
          <w:rFonts w:hint="eastAsia" w:ascii="宋体" w:hAnsi="宋体" w:eastAsia="宋体" w:cs="宋体"/>
          <w:sz w:val="24"/>
          <w:szCs w:val="24"/>
          <w:highlight w:val="none"/>
        </w:rPr>
        <w:t>附件三</w:t>
      </w:r>
      <w:bookmarkEnd w:id="111"/>
      <w:bookmarkEnd w:id="112"/>
      <w:bookmarkEnd w:id="113"/>
    </w:p>
    <w:p w14:paraId="3E832E79">
      <w:pPr>
        <w:pStyle w:val="3"/>
        <w:spacing w:before="0" w:after="0" w:line="520" w:lineRule="exact"/>
        <w:jc w:val="center"/>
        <w:rPr>
          <w:rFonts w:ascii="宋体" w:hAnsi="宋体" w:eastAsia="宋体" w:cs="宋体"/>
          <w:sz w:val="24"/>
          <w:szCs w:val="24"/>
          <w:highlight w:val="none"/>
        </w:rPr>
      </w:pPr>
      <w:bookmarkStart w:id="114" w:name="_Toc13141"/>
      <w:bookmarkStart w:id="115" w:name="_Toc10696"/>
      <w:bookmarkStart w:id="116" w:name="_Toc30135"/>
      <w:r>
        <w:rPr>
          <w:rFonts w:hint="eastAsia" w:ascii="宋体" w:hAnsi="宋体" w:eastAsia="宋体" w:cs="宋体"/>
          <w:sz w:val="24"/>
          <w:szCs w:val="24"/>
          <w:highlight w:val="none"/>
        </w:rPr>
        <w:t>磋商授权书</w:t>
      </w:r>
      <w:bookmarkEnd w:id="114"/>
      <w:bookmarkEnd w:id="115"/>
      <w:bookmarkEnd w:id="116"/>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spacing w:line="520" w:lineRule="exact"/>
        <w:ind w:firstLine="1084" w:firstLineChars="450"/>
        <w:jc w:val="left"/>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18905256">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701A0DE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spacing w:line="520" w:lineRule="exact"/>
        <w:ind w:firstLine="1084" w:firstLineChars="450"/>
        <w:jc w:val="left"/>
        <w:rPr>
          <w:rFonts w:ascii="宋体" w:hAnsi="宋体" w:cs="宋体"/>
          <w:b/>
          <w:bCs/>
          <w:sz w:val="24"/>
          <w:szCs w:val="24"/>
          <w:highlight w:val="none"/>
        </w:rPr>
      </w:pPr>
    </w:p>
    <w:p w14:paraId="5D172124">
      <w:pPr>
        <w:spacing w:line="520" w:lineRule="exact"/>
        <w:ind w:firstLine="1084" w:firstLineChars="450"/>
        <w:jc w:val="left"/>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sz w:val="24"/>
          <w:szCs w:val="24"/>
          <w:highlight w:val="none"/>
          <w:u w:val="single"/>
        </w:rPr>
        <w:t xml:space="preserve">                     </w:t>
      </w:r>
    </w:p>
    <w:p w14:paraId="25FDDB1A">
      <w:pPr>
        <w:spacing w:line="520" w:lineRule="exact"/>
        <w:jc w:val="left"/>
        <w:rPr>
          <w:rFonts w:ascii="宋体" w:hAnsi="宋体" w:cs="宋体"/>
          <w:sz w:val="24"/>
          <w:szCs w:val="24"/>
          <w:highlight w:val="non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064692FE">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2088672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49B15B99">
      <w:pPr>
        <w:wordWrap w:val="0"/>
        <w:spacing w:line="520" w:lineRule="exact"/>
        <w:jc w:val="right"/>
        <w:rPr>
          <w:rFonts w:ascii="宋体" w:hAnsi="宋体" w:cs="宋体"/>
          <w:sz w:val="24"/>
          <w:szCs w:val="24"/>
          <w:highlight w:val="none"/>
        </w:rPr>
      </w:pPr>
      <w:r>
        <w:rPr>
          <w:rFonts w:hint="eastAsia" w:ascii="宋体" w:hAnsi="宋体" w:cs="宋体"/>
          <w:sz w:val="24"/>
          <w:szCs w:val="24"/>
          <w:highlight w:val="none"/>
        </w:rPr>
        <w:t xml:space="preserve">                                                      </w:t>
      </w: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5DC574AA">
      <w:pPr>
        <w:pStyle w:val="3"/>
        <w:spacing w:before="0" w:after="0" w:line="560" w:lineRule="exact"/>
        <w:rPr>
          <w:rFonts w:ascii="宋体" w:hAnsi="宋体" w:eastAsia="宋体" w:cs="宋体"/>
          <w:sz w:val="24"/>
          <w:szCs w:val="24"/>
          <w:highlight w:val="none"/>
        </w:rPr>
      </w:pPr>
      <w:bookmarkStart w:id="117" w:name="_Toc23589"/>
      <w:bookmarkStart w:id="118" w:name="_Toc17226"/>
      <w:r>
        <w:rPr>
          <w:rFonts w:hint="eastAsia" w:ascii="宋体" w:hAnsi="宋体" w:eastAsia="宋体" w:cs="宋体"/>
          <w:sz w:val="24"/>
          <w:szCs w:val="24"/>
          <w:highlight w:val="none"/>
        </w:rPr>
        <w:br w:type="page"/>
      </w:r>
      <w:bookmarkStart w:id="119" w:name="_Toc17888"/>
      <w:r>
        <w:rPr>
          <w:rFonts w:hint="eastAsia" w:ascii="宋体" w:hAnsi="宋体" w:eastAsia="宋体" w:cs="宋体"/>
          <w:sz w:val="24"/>
          <w:szCs w:val="24"/>
          <w:highlight w:val="none"/>
        </w:rPr>
        <w:t>附件四</w:t>
      </w:r>
      <w:bookmarkEnd w:id="117"/>
      <w:bookmarkEnd w:id="118"/>
      <w:bookmarkEnd w:id="119"/>
    </w:p>
    <w:p w14:paraId="01A6441A">
      <w:pPr>
        <w:pStyle w:val="3"/>
        <w:spacing w:before="0" w:after="156" w:afterLines="50" w:line="560" w:lineRule="exact"/>
        <w:jc w:val="center"/>
        <w:rPr>
          <w:rFonts w:ascii="宋体" w:hAnsi="宋体" w:eastAsia="宋体" w:cs="宋体"/>
          <w:sz w:val="24"/>
          <w:szCs w:val="24"/>
          <w:highlight w:val="none"/>
        </w:rPr>
      </w:pPr>
      <w:bookmarkStart w:id="120" w:name="_Toc6278"/>
      <w:bookmarkStart w:id="121" w:name="_Toc29263"/>
      <w:bookmarkStart w:id="122" w:name="_Toc28665"/>
      <w:bookmarkStart w:id="123" w:name="_Toc417045478"/>
      <w:r>
        <w:rPr>
          <w:rFonts w:hint="eastAsia" w:ascii="宋体" w:hAnsi="宋体" w:eastAsia="宋体" w:cs="宋体"/>
          <w:sz w:val="24"/>
          <w:szCs w:val="24"/>
          <w:highlight w:val="none"/>
        </w:rPr>
        <w:t>磋商响应函</w:t>
      </w:r>
      <w:bookmarkEnd w:id="120"/>
      <w:bookmarkEnd w:id="121"/>
      <w:bookmarkEnd w:id="122"/>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24" w:name="_Toc30354"/>
      <w:bookmarkStart w:id="125" w:name="_Toc21593"/>
      <w:bookmarkStart w:id="126" w:name="_Toc16627"/>
      <w:r>
        <w:rPr>
          <w:rFonts w:hint="eastAsia" w:ascii="宋体" w:hAnsi="宋体" w:eastAsia="宋体" w:cs="宋体"/>
          <w:sz w:val="24"/>
          <w:szCs w:val="24"/>
          <w:highlight w:val="none"/>
        </w:rPr>
        <w:t>附件</w:t>
      </w:r>
      <w:bookmarkEnd w:id="123"/>
      <w:r>
        <w:rPr>
          <w:rFonts w:hint="eastAsia" w:ascii="宋体" w:hAnsi="宋体" w:eastAsia="宋体" w:cs="宋体"/>
          <w:sz w:val="24"/>
          <w:szCs w:val="24"/>
          <w:highlight w:val="none"/>
        </w:rPr>
        <w:t>五</w:t>
      </w:r>
      <w:bookmarkEnd w:id="124"/>
      <w:bookmarkEnd w:id="125"/>
      <w:bookmarkEnd w:id="126"/>
    </w:p>
    <w:p w14:paraId="38255504">
      <w:pPr>
        <w:pStyle w:val="32"/>
        <w:ind w:firstLine="281"/>
        <w:rPr>
          <w:b/>
          <w:sz w:val="28"/>
          <w:szCs w:val="28"/>
          <w:highlight w:val="none"/>
        </w:rPr>
      </w:pPr>
      <w:bookmarkStart w:id="127" w:name="_Toc26949"/>
      <w:bookmarkStart w:id="128" w:name="_Toc26881"/>
      <w:bookmarkStart w:id="129" w:name="_Toc10256"/>
    </w:p>
    <w:p w14:paraId="6A46F008">
      <w:pPr>
        <w:pStyle w:val="32"/>
        <w:ind w:firstLine="2891" w:firstLineChars="1200"/>
        <w:rPr>
          <w:rFonts w:ascii="宋体" w:hAnsi="宋体" w:cs="宋体"/>
          <w:b/>
          <w:szCs w:val="24"/>
          <w:highlight w:val="none"/>
          <w:lang w:val="zh-CN"/>
        </w:rPr>
      </w:pPr>
      <w:bookmarkStart w:id="130" w:name="_Hlk77793942"/>
      <w:r>
        <w:rPr>
          <w:rFonts w:hint="eastAsia" w:ascii="宋体" w:hAnsi="宋体" w:cs="宋体"/>
          <w:b/>
          <w:szCs w:val="24"/>
          <w:highlight w:val="none"/>
          <w:lang w:val="zh-CN"/>
        </w:rPr>
        <w:t>无重大违法记录声明函</w:t>
      </w:r>
    </w:p>
    <w:p w14:paraId="7D63D753">
      <w:pPr>
        <w:pStyle w:val="32"/>
        <w:ind w:firstLine="480" w:firstLineChars="200"/>
        <w:rPr>
          <w:rFonts w:ascii="宋体" w:hAnsi="宋体"/>
          <w:szCs w:val="24"/>
          <w:highlight w:val="none"/>
        </w:rPr>
      </w:pPr>
      <w:bookmarkStart w:id="131"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31"/>
    <w:p w14:paraId="352424BB">
      <w:pPr>
        <w:pStyle w:val="32"/>
        <w:ind w:firstLine="210"/>
        <w:rPr>
          <w:highlight w:val="none"/>
        </w:rPr>
      </w:pPr>
    </w:p>
    <w:p w14:paraId="760C0F6B">
      <w:pPr>
        <w:pStyle w:val="32"/>
        <w:ind w:firstLine="210"/>
        <w:rPr>
          <w:highlight w:val="none"/>
        </w:rPr>
      </w:pPr>
    </w:p>
    <w:p w14:paraId="7BA7DB68">
      <w:pPr>
        <w:tabs>
          <w:tab w:val="left" w:pos="630"/>
        </w:tabs>
        <w:spacing w:after="156" w:afterLines="50" w:line="360" w:lineRule="auto"/>
        <w:ind w:firstLine="3188" w:firstLineChars="1323"/>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32"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 xml:space="preserve">资格或者不授予合同，所有责任由我公司自行承担。同时，我公司愿意无条件接受监管部门的调查处理。 </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27"/>
      <w:bookmarkEnd w:id="128"/>
      <w:bookmarkEnd w:id="129"/>
      <w:bookmarkEnd w:id="130"/>
      <w:bookmarkEnd w:id="132"/>
      <w:bookmarkStart w:id="133" w:name="_Toc363199274"/>
      <w:r>
        <w:rPr>
          <w:rFonts w:hint="eastAsia" w:ascii="宋体" w:hAnsi="宋体" w:cs="宋体"/>
          <w:sz w:val="24"/>
          <w:szCs w:val="24"/>
          <w:highlight w:val="none"/>
        </w:rPr>
        <w:br w:type="page"/>
      </w:r>
      <w:bookmarkStart w:id="134" w:name="_Toc18709"/>
      <w:bookmarkStart w:id="135" w:name="_Toc20743"/>
      <w:bookmarkStart w:id="136" w:name="_Toc17797"/>
      <w:r>
        <w:rPr>
          <w:rFonts w:hint="eastAsia" w:ascii="宋体" w:hAnsi="宋体" w:cs="宋体"/>
          <w:sz w:val="24"/>
          <w:szCs w:val="24"/>
          <w:highlight w:val="none"/>
        </w:rPr>
        <w:t>附件</w:t>
      </w:r>
      <w:bookmarkEnd w:id="133"/>
      <w:r>
        <w:rPr>
          <w:rFonts w:hint="eastAsia" w:ascii="宋体" w:hAnsi="宋体" w:cs="宋体"/>
          <w:sz w:val="24"/>
          <w:szCs w:val="24"/>
          <w:highlight w:val="none"/>
        </w:rPr>
        <w:t>六</w:t>
      </w:r>
      <w:bookmarkEnd w:id="134"/>
      <w:bookmarkEnd w:id="135"/>
      <w:bookmarkEnd w:id="136"/>
    </w:p>
    <w:p w14:paraId="7D8E33E4">
      <w:pPr>
        <w:pStyle w:val="3"/>
        <w:spacing w:before="0" w:after="0" w:line="560" w:lineRule="exact"/>
        <w:jc w:val="center"/>
        <w:rPr>
          <w:rFonts w:ascii="宋体" w:hAnsi="宋体" w:eastAsia="宋体" w:cs="宋体"/>
          <w:sz w:val="24"/>
          <w:szCs w:val="24"/>
          <w:highlight w:val="none"/>
          <w:lang w:val="zh-CN"/>
        </w:rPr>
      </w:pPr>
      <w:bookmarkStart w:id="137" w:name="_Toc18402"/>
      <w:bookmarkStart w:id="138" w:name="_Toc30075"/>
      <w:bookmarkStart w:id="139" w:name="_Toc25238"/>
      <w:r>
        <w:rPr>
          <w:rFonts w:hint="eastAsia" w:ascii="宋体" w:hAnsi="宋体" w:eastAsia="宋体" w:cs="宋体"/>
          <w:sz w:val="24"/>
          <w:szCs w:val="24"/>
          <w:highlight w:val="none"/>
          <w:lang w:val="zh-CN"/>
        </w:rPr>
        <w:t>响应情况表</w:t>
      </w:r>
      <w:bookmarkEnd w:id="137"/>
      <w:bookmarkEnd w:id="138"/>
      <w:bookmarkEnd w:id="139"/>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40"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41" w:name="_Toc29422"/>
      <w:bookmarkStart w:id="142" w:name="_Toc22037"/>
      <w:r>
        <w:rPr>
          <w:rStyle w:val="95"/>
          <w:rFonts w:hint="eastAsia" w:ascii="宋体" w:hAnsi="宋体" w:eastAsia="宋体" w:cs="宋体"/>
          <w:sz w:val="24"/>
          <w:szCs w:val="24"/>
          <w:highlight w:val="none"/>
        </w:rPr>
        <w:t>附件</w:t>
      </w:r>
      <w:bookmarkEnd w:id="140"/>
      <w:r>
        <w:rPr>
          <w:rStyle w:val="95"/>
          <w:rFonts w:hint="eastAsia" w:ascii="宋体" w:hAnsi="宋体" w:eastAsia="宋体" w:cs="宋体"/>
          <w:sz w:val="24"/>
          <w:szCs w:val="24"/>
          <w:highlight w:val="none"/>
        </w:rPr>
        <w:t>七</w:t>
      </w:r>
      <w:bookmarkEnd w:id="141"/>
      <w:bookmarkEnd w:id="142"/>
    </w:p>
    <w:p w14:paraId="4F7498EA">
      <w:pPr>
        <w:pStyle w:val="3"/>
        <w:spacing w:before="0" w:after="0" w:line="560" w:lineRule="exact"/>
        <w:jc w:val="center"/>
        <w:rPr>
          <w:rFonts w:ascii="宋体" w:hAnsi="宋体" w:eastAsia="宋体" w:cs="宋体"/>
          <w:sz w:val="24"/>
          <w:szCs w:val="24"/>
          <w:highlight w:val="none"/>
        </w:rPr>
      </w:pPr>
      <w:bookmarkStart w:id="143" w:name="_Toc30527"/>
      <w:bookmarkStart w:id="144" w:name="_Toc18625"/>
      <w:bookmarkStart w:id="145" w:name="_Toc1624"/>
      <w:r>
        <w:rPr>
          <w:rFonts w:hint="eastAsia" w:ascii="宋体" w:hAnsi="宋体" w:eastAsia="宋体" w:cs="宋体"/>
          <w:sz w:val="24"/>
          <w:szCs w:val="24"/>
          <w:highlight w:val="none"/>
        </w:rPr>
        <w:t>相关服务承诺函</w:t>
      </w:r>
      <w:bookmarkEnd w:id="143"/>
      <w:bookmarkEnd w:id="144"/>
      <w:bookmarkEnd w:id="145"/>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pStyle w:val="3"/>
        <w:spacing w:before="120" w:after="120"/>
        <w:rPr>
          <w:rFonts w:ascii="宋体" w:hAnsi="宋体" w:eastAsia="宋体" w:cs="宋体"/>
          <w:sz w:val="24"/>
          <w:szCs w:val="24"/>
          <w:highlight w:val="none"/>
        </w:rPr>
      </w:pPr>
      <w:bookmarkStart w:id="146" w:name="_Toc3177"/>
      <w:r>
        <w:rPr>
          <w:rFonts w:hint="eastAsia" w:ascii="宋体" w:hAnsi="宋体" w:eastAsia="宋体" w:cs="宋体"/>
          <w:sz w:val="24"/>
          <w:szCs w:val="24"/>
          <w:highlight w:val="none"/>
        </w:rPr>
        <w:br w:type="page"/>
      </w:r>
      <w:bookmarkStart w:id="147" w:name="_Toc2879"/>
      <w:bookmarkStart w:id="148" w:name="_Toc13577"/>
      <w:bookmarkStart w:id="149" w:name="_Toc3796"/>
      <w:r>
        <w:rPr>
          <w:rFonts w:hint="eastAsia" w:ascii="宋体" w:hAnsi="宋体" w:eastAsia="宋体" w:cs="宋体"/>
          <w:sz w:val="24"/>
          <w:szCs w:val="24"/>
          <w:highlight w:val="none"/>
        </w:rPr>
        <w:t>附件八</w:t>
      </w:r>
      <w:bookmarkEnd w:id="147"/>
      <w:bookmarkEnd w:id="148"/>
      <w:bookmarkEnd w:id="149"/>
    </w:p>
    <w:bookmarkEnd w:id="146"/>
    <w:p w14:paraId="538AA6B9">
      <w:pPr>
        <w:spacing w:line="360" w:lineRule="auto"/>
        <w:jc w:val="center"/>
        <w:rPr>
          <w:rFonts w:ascii="宋体" w:hAnsi="宋体" w:cs="宋体"/>
          <w:b/>
          <w:bCs w:val="0"/>
          <w:sz w:val="24"/>
          <w:szCs w:val="24"/>
          <w:highlight w:val="none"/>
        </w:rPr>
      </w:pPr>
      <w:bookmarkStart w:id="150" w:name="_GoBack"/>
      <w:r>
        <w:rPr>
          <w:rFonts w:hint="eastAsia" w:ascii="宋体" w:hAnsi="宋体" w:cs="宋体"/>
          <w:b/>
          <w:bCs w:val="0"/>
          <w:sz w:val="24"/>
          <w:szCs w:val="24"/>
          <w:highlight w:val="none"/>
        </w:rPr>
        <w:t>磋商文件要求和供应商认为需要提供的其它说明和资料</w:t>
      </w:r>
    </w:p>
    <w:bookmarkEnd w:id="150"/>
    <w:p w14:paraId="3F2919AF">
      <w:pPr>
        <w:jc w:val="center"/>
        <w:rPr>
          <w:rFonts w:hint="eastAsia" w:ascii="宋体" w:hAnsi="宋体" w:eastAsia="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
          <w:bCs/>
          <w:sz w:val="24"/>
          <w:szCs w:val="24"/>
          <w:highlight w:val="none"/>
        </w:rPr>
        <w:br w:type="page"/>
      </w:r>
    </w:p>
    <w:sectPr>
      <w:headerReference r:id="rId18" w:type="default"/>
      <w:footerReference r:id="rId20" w:type="default"/>
      <w:headerReference r:id="rId19" w:type="even"/>
      <w:footerReference r:id="rId21"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2D1E0">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CF9430">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7CF9430">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18F909D3">
    <w:pPr>
      <w:spacing w:line="220" w:lineRule="auto"/>
      <w:ind w:left="3323"/>
      <w:rPr>
        <w:rFonts w:ascii="宋体" w:hAnsi="宋体" w:cs="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6335D">
    <w:pPr>
      <w:spacing w:line="220" w:lineRule="auto"/>
      <w:ind w:left="3407"/>
      <w:rPr>
        <w:rFonts w:ascii="宋体" w:hAnsi="宋体" w:cs="宋体"/>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B7E690">
                          <w:pPr>
                            <w:pStyle w:val="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BB7E690">
                    <w:pPr>
                      <w:pStyle w:val="2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B120">
    <w:pPr>
      <w:spacing w:line="220" w:lineRule="auto"/>
      <w:ind w:left="3323"/>
      <w:rPr>
        <w:rFonts w:ascii="宋体" w:hAnsi="宋体" w:cs="宋体"/>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06452B7">
                          <w:pPr>
                            <w:pStyle w:val="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606452B7">
                    <w:pPr>
                      <w:pStyle w:val="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BD77C">
    <w:pPr>
      <w:spacing w:line="220" w:lineRule="auto"/>
      <w:ind w:left="3323"/>
      <w:rPr>
        <w:rFonts w:ascii="宋体" w:hAnsi="宋体" w:cs="宋体"/>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B17CEB">
                          <w:pPr>
                            <w:pStyle w:val="2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56B17CEB">
                    <w:pPr>
                      <w:pStyle w:val="2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AFDAD">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629C00">
                          <w:pPr>
                            <w:pStyle w:val="2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F629C00">
                    <w:pPr>
                      <w:pStyle w:val="20"/>
                    </w:pPr>
                    <w:r>
                      <w:fldChar w:fldCharType="begin"/>
                    </w:r>
                    <w:r>
                      <w:instrText xml:space="preserve"> PAGE  \* MERGEFORMAT </w:instrText>
                    </w:r>
                    <w:r>
                      <w:fldChar w:fldCharType="separate"/>
                    </w:r>
                    <w:r>
                      <w:t>19</w:t>
                    </w:r>
                    <w:r>
                      <w:fldChar w:fldCharType="end"/>
                    </w:r>
                  </w:p>
                </w:txbxContent>
              </v:textbox>
            </v:shape>
          </w:pict>
        </mc:Fallback>
      </mc:AlternateContent>
    </w:r>
  </w:p>
  <w:p w14:paraId="779322A8">
    <w:pPr>
      <w:spacing w:line="220" w:lineRule="auto"/>
      <w:ind w:left="3323"/>
      <w:rPr>
        <w:rFonts w:ascii="宋体" w:hAnsi="宋体" w:cs="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70CA">
    <w:pPr>
      <w:spacing w:line="220" w:lineRule="auto"/>
      <w:ind w:left="3323"/>
      <w:rPr>
        <w:rFonts w:ascii="宋体" w:hAnsi="宋体" w:cs="宋体"/>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BAB006">
                          <w:pPr>
                            <w:pStyle w:val="2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20BAB006">
                    <w:pPr>
                      <w:pStyle w:val="2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3D598">
    <w:pPr>
      <w:spacing w:line="220" w:lineRule="auto"/>
      <w:ind w:left="3323"/>
      <w:rPr>
        <w:rFonts w:ascii="宋体" w:hAnsi="宋体" w:cs="宋体"/>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0385395">
                          <w:pPr>
                            <w:pStyle w:val="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10385395">
                    <w:pPr>
                      <w:pStyle w:val="2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B9450">
    <w:pPr>
      <w:spacing w:line="220" w:lineRule="auto"/>
      <w:ind w:left="3323"/>
      <w:rPr>
        <w:rFonts w:ascii="宋体" w:hAnsi="宋体" w:cs="宋体"/>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D5A8A0">
                          <w:pPr>
                            <w:pStyle w:val="2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7FD5A8A0">
                    <w:pPr>
                      <w:pStyle w:val="2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0110">
    <w:pPr>
      <w:pStyle w:val="2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0536F74">
                          <w:pPr>
                            <w:pStyle w:val="20"/>
                            <w:rPr>
                              <w:rStyle w:val="38"/>
                            </w:rPr>
                          </w:pPr>
                          <w:r>
                            <w:rPr>
                              <w:rStyle w:val="38"/>
                            </w:rPr>
                            <w:fldChar w:fldCharType="begin"/>
                          </w:r>
                          <w:r>
                            <w:rPr>
                              <w:rStyle w:val="38"/>
                            </w:rPr>
                            <w:instrText xml:space="preserve">PAGE  </w:instrText>
                          </w:r>
                          <w:r>
                            <w:rPr>
                              <w:rStyle w:val="38"/>
                            </w:rPr>
                            <w:fldChar w:fldCharType="separate"/>
                          </w:r>
                          <w:r>
                            <w:rPr>
                              <w:rStyle w:val="38"/>
                            </w:rPr>
                            <w:t>45</w:t>
                          </w:r>
                          <w:r>
                            <w:rPr>
                              <w:rStyle w:val="3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0536F74">
                    <w:pPr>
                      <w:pStyle w:val="20"/>
                      <w:rPr>
                        <w:rStyle w:val="38"/>
                      </w:rPr>
                    </w:pPr>
                    <w:r>
                      <w:rPr>
                        <w:rStyle w:val="38"/>
                      </w:rPr>
                      <w:fldChar w:fldCharType="begin"/>
                    </w:r>
                    <w:r>
                      <w:rPr>
                        <w:rStyle w:val="38"/>
                      </w:rPr>
                      <w:instrText xml:space="preserve">PAGE  </w:instrText>
                    </w:r>
                    <w:r>
                      <w:rPr>
                        <w:rStyle w:val="38"/>
                      </w:rPr>
                      <w:fldChar w:fldCharType="separate"/>
                    </w:r>
                    <w:r>
                      <w:rPr>
                        <w:rStyle w:val="38"/>
                      </w:rPr>
                      <w:t>45</w:t>
                    </w:r>
                    <w:r>
                      <w:rPr>
                        <w:rStyle w:val="3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16E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AEC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8372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565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2D7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E5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DC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pBdr>
        <w:bottom w:val="single" w:color="auto" w:sz="6" w:space="0"/>
      </w:pBdr>
      <w:tabs>
        <w:tab w:val="left" w:pos="8460"/>
        <w:tab w:val="left" w:pos="9180"/>
        <w:tab w:val="clear" w:pos="4153"/>
        <w:tab w:val="clear" w:pos="8306"/>
      </w:tabs>
      <w:ind w:right="360"/>
    </w:pPr>
    <w:r>
      <w:rPr>
        <w:rFonts w:hint="eastAsia"/>
      </w:rPr>
      <w:t>竞争性磋商文件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437F14DE"/>
    <w:multiLevelType w:val="multilevel"/>
    <w:tmpl w:val="437F14DE"/>
    <w:lvl w:ilvl="0" w:tentative="0">
      <w:start w:val="4"/>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740CD31"/>
    <w:multiLevelType w:val="singleLevel"/>
    <w:tmpl w:val="7740CD31"/>
    <w:lvl w:ilvl="0" w:tentative="0">
      <w:start w:val="2"/>
      <w:numFmt w:val="decimal"/>
      <w:suff w:val="nothing"/>
      <w:lvlText w:val="%1、"/>
      <w:lvlJc w:val="left"/>
    </w:lvl>
  </w:abstractNum>
  <w:num w:numId="1">
    <w:abstractNumId w:val="1"/>
  </w:num>
  <w:num w:numId="2">
    <w:abstractNumId w:val="3"/>
  </w:num>
  <w:num w:numId="3">
    <w:abstractNumId w:val="0"/>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45387"/>
    <w:rsid w:val="05104E6D"/>
    <w:rsid w:val="05ED76CD"/>
    <w:rsid w:val="06262FF6"/>
    <w:rsid w:val="06496ED9"/>
    <w:rsid w:val="07267565"/>
    <w:rsid w:val="078C18B4"/>
    <w:rsid w:val="07A20F5E"/>
    <w:rsid w:val="080B49C0"/>
    <w:rsid w:val="08531B86"/>
    <w:rsid w:val="0861256E"/>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B070AA"/>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140356"/>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1EF7C3C"/>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B0CF2D3"/>
    <w:rsid w:val="5B7B30F8"/>
    <w:rsid w:val="5BBC1D09"/>
    <w:rsid w:val="5BEC2BF6"/>
    <w:rsid w:val="5C34380B"/>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F22548"/>
    <w:rsid w:val="65216376"/>
    <w:rsid w:val="656062CA"/>
    <w:rsid w:val="659106E2"/>
    <w:rsid w:val="65AB236D"/>
    <w:rsid w:val="65B8080F"/>
    <w:rsid w:val="65E8208B"/>
    <w:rsid w:val="66353AAC"/>
    <w:rsid w:val="66483EC5"/>
    <w:rsid w:val="66704DB4"/>
    <w:rsid w:val="66FF3B3B"/>
    <w:rsid w:val="67102453"/>
    <w:rsid w:val="679648B3"/>
    <w:rsid w:val="67DE06AB"/>
    <w:rsid w:val="68A67F29"/>
    <w:rsid w:val="68C15CCA"/>
    <w:rsid w:val="692D45F0"/>
    <w:rsid w:val="69770EA6"/>
    <w:rsid w:val="697D619C"/>
    <w:rsid w:val="69992F6F"/>
    <w:rsid w:val="69EE3D79"/>
    <w:rsid w:val="6A0E091D"/>
    <w:rsid w:val="6A5F2208"/>
    <w:rsid w:val="6ABA50AD"/>
    <w:rsid w:val="6B58725B"/>
    <w:rsid w:val="6BA94127"/>
    <w:rsid w:val="6BFE46EA"/>
    <w:rsid w:val="6C7F53F2"/>
    <w:rsid w:val="6C8B20CC"/>
    <w:rsid w:val="6C95A85E"/>
    <w:rsid w:val="6D176247"/>
    <w:rsid w:val="6DBD7D34"/>
    <w:rsid w:val="6F053873"/>
    <w:rsid w:val="6F1ECFF8"/>
    <w:rsid w:val="704217E5"/>
    <w:rsid w:val="71106C43"/>
    <w:rsid w:val="71152000"/>
    <w:rsid w:val="721756F7"/>
    <w:rsid w:val="7231680E"/>
    <w:rsid w:val="72896870"/>
    <w:rsid w:val="749A7E60"/>
    <w:rsid w:val="750872E0"/>
    <w:rsid w:val="75493BC8"/>
    <w:rsid w:val="75721B26"/>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next w:val="6"/>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9">
    <w:name w:val="Normal (Web)"/>
    <w:basedOn w:val="1"/>
    <w:unhideWhenUsed/>
    <w:qFormat/>
    <w:uiPriority w:val="99"/>
    <w:pPr>
      <w:jc w:val="left"/>
    </w:pPr>
    <w:rPr>
      <w:kern w:val="0"/>
      <w:sz w:val="24"/>
    </w:rPr>
  </w:style>
  <w:style w:type="paragraph" w:styleId="30">
    <w:name w:val="index 1"/>
    <w:basedOn w:val="1"/>
    <w:next w:val="1"/>
    <w:semiHidden/>
    <w:qFormat/>
    <w:uiPriority w:val="0"/>
    <w:pPr>
      <w:jc w:val="center"/>
    </w:pPr>
    <w:rPr>
      <w:rFonts w:ascii="仿宋_GB2312" w:eastAsia="仿宋_GB2312"/>
      <w:b/>
      <w:bCs/>
      <w:sz w:val="28"/>
    </w:rPr>
  </w:style>
  <w:style w:type="paragraph" w:styleId="31">
    <w:name w:val="annotation subject"/>
    <w:basedOn w:val="8"/>
    <w:next w:val="8"/>
    <w:link w:val="67"/>
    <w:semiHidden/>
    <w:qFormat/>
    <w:uiPriority w:val="99"/>
    <w:rPr>
      <w:b/>
      <w:bCs/>
    </w:rPr>
  </w:style>
  <w:style w:type="paragraph" w:styleId="32">
    <w:name w:val="Body Text First Indent"/>
    <w:basedOn w:val="10"/>
    <w:unhideWhenUsed/>
    <w:qFormat/>
    <w:uiPriority w:val="99"/>
    <w:pPr>
      <w:spacing w:line="400" w:lineRule="atLeast"/>
      <w:ind w:firstLine="426"/>
    </w:pPr>
    <w:rPr>
      <w:sz w:val="24"/>
      <w:szCs w:val="20"/>
    </w:rPr>
  </w:style>
  <w:style w:type="paragraph" w:styleId="33">
    <w:name w:val="Body Text First Indent 2"/>
    <w:basedOn w:val="11"/>
    <w:next w:val="1"/>
    <w:qFormat/>
    <w:uiPriority w:val="0"/>
    <w:pPr>
      <w:spacing w:line="360" w:lineRule="auto"/>
      <w:ind w:firstLine="200" w:firstLineChars="200"/>
    </w:pPr>
    <w:rPr>
      <w:rFonts w:ascii="宋体"/>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1"/>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20415</Words>
  <Characters>21301</Characters>
  <Lines>177</Lines>
  <Paragraphs>49</Paragraphs>
  <TotalTime>13</TotalTime>
  <ScaleCrop>false</ScaleCrop>
  <LinksUpToDate>false</LinksUpToDate>
  <CharactersWithSpaces>22550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cp:lastModifiedBy>
  <cp:lastPrinted>2024-10-10T00:01:00Z</cp:lastPrinted>
  <dcterms:modified xsi:type="dcterms:W3CDTF">2024-10-10T07:05:00Z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74F5422472CA47B0A9715DB22F379FB4_13</vt:lpwstr>
  </property>
</Properties>
</file>